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F2EEB" w14:textId="77777777" w:rsidR="009205E4" w:rsidRPr="00284E49" w:rsidRDefault="009205E4" w:rsidP="009205E4">
      <w:pPr>
        <w:ind w:right="-289"/>
        <w:jc w:val="both"/>
        <w:rPr>
          <w:b/>
        </w:rPr>
      </w:pPr>
    </w:p>
    <w:p w14:paraId="57A7AB09" w14:textId="77777777" w:rsidR="009205E4" w:rsidRPr="00284E49" w:rsidRDefault="009205E4" w:rsidP="009205E4">
      <w:pPr>
        <w:ind w:right="-289"/>
        <w:jc w:val="right"/>
      </w:pPr>
    </w:p>
    <w:p w14:paraId="6F4E8963" w14:textId="77777777" w:rsidR="00D12B86" w:rsidRPr="00D12B86" w:rsidRDefault="00D12B86" w:rsidP="00D12B86">
      <w:pPr>
        <w:ind w:right="-289"/>
        <w:jc w:val="right"/>
        <w:rPr>
          <w:i/>
        </w:rPr>
      </w:pPr>
    </w:p>
    <w:p w14:paraId="32F99639" w14:textId="77777777" w:rsidR="00D12B86" w:rsidRPr="00D12B86" w:rsidRDefault="00D12B86" w:rsidP="00D12B86">
      <w:pPr>
        <w:ind w:right="-289"/>
        <w:jc w:val="right"/>
        <w:rPr>
          <w:bCs/>
          <w:i/>
          <w:iCs/>
        </w:rPr>
      </w:pPr>
      <w:r w:rsidRPr="00D12B86">
        <w:rPr>
          <w:bCs/>
          <w:i/>
          <w:iCs/>
        </w:rPr>
        <w:t xml:space="preserve">Pielikums Nr.1 </w:t>
      </w:r>
    </w:p>
    <w:p w14:paraId="2C04DAE8" w14:textId="3C09ACEC" w:rsidR="00D12B86" w:rsidRPr="00D12B86" w:rsidRDefault="00D12B86" w:rsidP="00D12B86">
      <w:pPr>
        <w:ind w:right="-289"/>
        <w:jc w:val="right"/>
        <w:rPr>
          <w:bCs/>
          <w:i/>
          <w:iCs/>
        </w:rPr>
      </w:pPr>
      <w:r w:rsidRPr="00D12B86">
        <w:rPr>
          <w:bCs/>
          <w:i/>
          <w:iCs/>
        </w:rPr>
        <w:t>ZPR AP lēmumam Nr.1</w:t>
      </w:r>
      <w:r>
        <w:rPr>
          <w:bCs/>
          <w:i/>
          <w:iCs/>
        </w:rPr>
        <w:t>3</w:t>
      </w:r>
      <w:r w:rsidRPr="00D12B86">
        <w:rPr>
          <w:bCs/>
          <w:i/>
          <w:iCs/>
        </w:rPr>
        <w:t>, Prot.nr.2</w:t>
      </w:r>
    </w:p>
    <w:p w14:paraId="3E814D62" w14:textId="77777777" w:rsidR="009205E4" w:rsidRPr="00284E49" w:rsidRDefault="009205E4" w:rsidP="009205E4">
      <w:pPr>
        <w:ind w:right="-289"/>
        <w:jc w:val="right"/>
        <w:rPr>
          <w:b/>
        </w:rPr>
      </w:pPr>
    </w:p>
    <w:p w14:paraId="0182836B" w14:textId="46615A99" w:rsidR="009205E4" w:rsidRPr="00284E49" w:rsidRDefault="009205E4" w:rsidP="00C7365C">
      <w:pPr>
        <w:ind w:right="-289"/>
        <w:jc w:val="center"/>
        <w:rPr>
          <w:b/>
        </w:rPr>
      </w:pPr>
      <w:r w:rsidRPr="00284E49">
        <w:rPr>
          <w:b/>
        </w:rPr>
        <w:t>Projekta idejas veidlapa</w:t>
      </w:r>
    </w:p>
    <w:p w14:paraId="06F8590C" w14:textId="77777777" w:rsidR="009205E4" w:rsidRPr="00284E49" w:rsidRDefault="009205E4" w:rsidP="009205E4">
      <w:pPr>
        <w:ind w:right="-289"/>
        <w:jc w:val="both"/>
        <w:rPr>
          <w:b/>
        </w:rPr>
      </w:pP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9205E4" w:rsidRPr="00284E49" w14:paraId="1971DAF6" w14:textId="77777777" w:rsidTr="00C7365C">
        <w:trPr>
          <w:trHeight w:val="270"/>
        </w:trPr>
        <w:tc>
          <w:tcPr>
            <w:tcW w:w="516" w:type="dxa"/>
            <w:noWrap/>
            <w:vAlign w:val="bottom"/>
          </w:tcPr>
          <w:p w14:paraId="284BAA90" w14:textId="77777777" w:rsidR="009205E4" w:rsidRPr="00284E49" w:rsidRDefault="009205E4" w:rsidP="002C49EF"/>
        </w:tc>
        <w:tc>
          <w:tcPr>
            <w:tcW w:w="3171" w:type="dxa"/>
            <w:noWrap/>
            <w:vAlign w:val="bottom"/>
          </w:tcPr>
          <w:p w14:paraId="79DB2908" w14:textId="77777777" w:rsidR="009205E4" w:rsidRPr="00284E49" w:rsidRDefault="009205E4" w:rsidP="002C49EF"/>
        </w:tc>
        <w:tc>
          <w:tcPr>
            <w:tcW w:w="5953" w:type="dxa"/>
            <w:noWrap/>
            <w:vAlign w:val="bottom"/>
          </w:tcPr>
          <w:p w14:paraId="67C20620" w14:textId="77777777" w:rsidR="009205E4" w:rsidRPr="00284E49" w:rsidRDefault="009205E4" w:rsidP="002C49EF"/>
        </w:tc>
      </w:tr>
      <w:tr w:rsidR="009205E4" w:rsidRPr="00284E49" w14:paraId="1B8AF4C1" w14:textId="77777777" w:rsidTr="00C7365C">
        <w:trPr>
          <w:trHeight w:val="750"/>
        </w:trPr>
        <w:tc>
          <w:tcPr>
            <w:tcW w:w="516" w:type="dxa"/>
            <w:tcBorders>
              <w:top w:val="single" w:sz="8" w:space="0" w:color="auto"/>
              <w:left w:val="single" w:sz="8" w:space="0" w:color="auto"/>
              <w:bottom w:val="single" w:sz="8" w:space="0" w:color="auto"/>
              <w:right w:val="single" w:sz="4" w:space="0" w:color="auto"/>
            </w:tcBorders>
            <w:hideMark/>
          </w:tcPr>
          <w:p w14:paraId="3FE9C0F8" w14:textId="77777777" w:rsidR="009205E4" w:rsidRPr="00284E49" w:rsidRDefault="009205E4" w:rsidP="002C49EF">
            <w:r w:rsidRPr="00284E49">
              <w:t xml:space="preserve">1. </w:t>
            </w:r>
          </w:p>
        </w:tc>
        <w:tc>
          <w:tcPr>
            <w:tcW w:w="3171" w:type="dxa"/>
            <w:tcBorders>
              <w:top w:val="single" w:sz="8" w:space="0" w:color="auto"/>
              <w:left w:val="nil"/>
              <w:bottom w:val="single" w:sz="8" w:space="0" w:color="auto"/>
              <w:right w:val="single" w:sz="4" w:space="0" w:color="auto"/>
            </w:tcBorders>
            <w:hideMark/>
          </w:tcPr>
          <w:p w14:paraId="059CCD61" w14:textId="77777777" w:rsidR="009205E4" w:rsidRPr="00284E49" w:rsidRDefault="009205E4" w:rsidP="002C49EF">
            <w:pPr>
              <w:rPr>
                <w:b/>
                <w:bCs/>
              </w:rPr>
            </w:pPr>
            <w:r w:rsidRPr="00284E49">
              <w:rPr>
                <w:b/>
                <w:bCs/>
              </w:rPr>
              <w:t>Ministrijas struktūrvienība</w:t>
            </w:r>
            <w:r w:rsidRPr="00284E49">
              <w:rPr>
                <w:b/>
              </w:rPr>
              <w:t>, padotības iestāde, arī atvasināta publiskā persona, un kapitālsabiedrība</w:t>
            </w:r>
            <w:r w:rsidRPr="00284E49">
              <w:t xml:space="preserve">, kas iesniedz projekta ideju izskatīšanai IPIK </w:t>
            </w:r>
          </w:p>
        </w:tc>
        <w:tc>
          <w:tcPr>
            <w:tcW w:w="5953" w:type="dxa"/>
            <w:tcBorders>
              <w:top w:val="single" w:sz="8" w:space="0" w:color="auto"/>
              <w:left w:val="nil"/>
              <w:bottom w:val="single" w:sz="8" w:space="0" w:color="auto"/>
              <w:right w:val="single" w:sz="8" w:space="0" w:color="auto"/>
            </w:tcBorders>
            <w:hideMark/>
          </w:tcPr>
          <w:p w14:paraId="6B7FA933" w14:textId="77777777" w:rsidR="009205E4" w:rsidRPr="00284E49" w:rsidRDefault="009205E4" w:rsidP="002C49EF">
            <w:r w:rsidRPr="00284E49">
              <w:t xml:space="preserve"> Zemgales Plānošanas reģions </w:t>
            </w:r>
          </w:p>
        </w:tc>
      </w:tr>
      <w:tr w:rsidR="009205E4" w:rsidRPr="00284E49" w14:paraId="36CB2C4E" w14:textId="77777777" w:rsidTr="00C7365C">
        <w:trPr>
          <w:trHeight w:val="651"/>
        </w:trPr>
        <w:tc>
          <w:tcPr>
            <w:tcW w:w="516" w:type="dxa"/>
            <w:tcBorders>
              <w:top w:val="nil"/>
              <w:left w:val="single" w:sz="8" w:space="0" w:color="auto"/>
              <w:bottom w:val="single" w:sz="8" w:space="0" w:color="auto"/>
              <w:right w:val="single" w:sz="4" w:space="0" w:color="auto"/>
            </w:tcBorders>
            <w:hideMark/>
          </w:tcPr>
          <w:p w14:paraId="3CDC40E4" w14:textId="77777777" w:rsidR="009205E4" w:rsidRPr="00284E49" w:rsidRDefault="009205E4" w:rsidP="002C49EF">
            <w:r w:rsidRPr="00284E49">
              <w:t xml:space="preserve">2. </w:t>
            </w:r>
          </w:p>
        </w:tc>
        <w:tc>
          <w:tcPr>
            <w:tcW w:w="3171" w:type="dxa"/>
            <w:tcBorders>
              <w:top w:val="nil"/>
              <w:left w:val="nil"/>
              <w:bottom w:val="single" w:sz="8" w:space="0" w:color="auto"/>
              <w:right w:val="single" w:sz="4" w:space="0" w:color="auto"/>
            </w:tcBorders>
          </w:tcPr>
          <w:p w14:paraId="68B24E2E" w14:textId="77777777" w:rsidR="009205E4" w:rsidRPr="00284E49" w:rsidRDefault="009205E4" w:rsidP="002C49EF">
            <w:r w:rsidRPr="00284E49">
              <w:rPr>
                <w:b/>
                <w:bCs/>
              </w:rPr>
              <w:t>Projekta</w:t>
            </w:r>
            <w:r w:rsidRPr="00284E49">
              <w:t xml:space="preserve"> </w:t>
            </w:r>
            <w:r w:rsidRPr="00284E49">
              <w:rPr>
                <w:b/>
                <w:bCs/>
              </w:rPr>
              <w:t>nosaukums</w:t>
            </w:r>
            <w:r w:rsidRPr="00284E49">
              <w:t xml:space="preserve"> (arī angļu valodā, ja projekta valoda būs angļu valoda)</w:t>
            </w:r>
          </w:p>
          <w:p w14:paraId="1B6E355F" w14:textId="77777777" w:rsidR="009205E4" w:rsidRPr="00284E49" w:rsidRDefault="009205E4" w:rsidP="002C49EF">
            <w:pPr>
              <w:rPr>
                <w:b/>
                <w:bCs/>
                <w:u w:val="single"/>
              </w:rPr>
            </w:pPr>
          </w:p>
        </w:tc>
        <w:tc>
          <w:tcPr>
            <w:tcW w:w="5953" w:type="dxa"/>
            <w:tcBorders>
              <w:top w:val="nil"/>
              <w:left w:val="nil"/>
              <w:bottom w:val="single" w:sz="8" w:space="0" w:color="auto"/>
              <w:right w:val="single" w:sz="8" w:space="0" w:color="auto"/>
            </w:tcBorders>
          </w:tcPr>
          <w:p w14:paraId="2ED3E927" w14:textId="39468203" w:rsidR="009205E4" w:rsidRDefault="00411241" w:rsidP="00411241">
            <w:pPr>
              <w:spacing w:before="100" w:beforeAutospacing="1" w:after="100" w:afterAutospacing="1"/>
            </w:pPr>
            <w:r>
              <w:rPr>
                <w:b/>
                <w:bCs/>
              </w:rPr>
              <w:t>“</w:t>
            </w:r>
            <w:bookmarkStart w:id="0" w:name="_Hlk206496738"/>
            <w:proofErr w:type="spellStart"/>
            <w:r w:rsidRPr="005B38E9">
              <w:rPr>
                <w:b/>
                <w:bCs/>
              </w:rPr>
              <w:t>Flow</w:t>
            </w:r>
            <w:proofErr w:type="spellEnd"/>
            <w:r w:rsidRPr="005B38E9">
              <w:rPr>
                <w:b/>
                <w:bCs/>
              </w:rPr>
              <w:t>++</w:t>
            </w:r>
            <w:r>
              <w:rPr>
                <w:b/>
                <w:bCs/>
              </w:rPr>
              <w:t xml:space="preserve"> “/</w:t>
            </w:r>
            <w:r w:rsidR="004F4192">
              <w:t xml:space="preserve">Jaunieši darba un dzīves plūsmā </w:t>
            </w:r>
            <w:bookmarkEnd w:id="0"/>
          </w:p>
          <w:p w14:paraId="43661386" w14:textId="0E819377" w:rsidR="00411241" w:rsidRDefault="00411241" w:rsidP="00411241">
            <w:pPr>
              <w:spacing w:before="100" w:beforeAutospacing="1" w:after="100" w:afterAutospacing="1"/>
            </w:pPr>
            <w:r>
              <w:t>“</w:t>
            </w:r>
            <w:proofErr w:type="spellStart"/>
            <w:r w:rsidRPr="005B38E9">
              <w:rPr>
                <w:b/>
                <w:bCs/>
              </w:rPr>
              <w:t>Flow</w:t>
            </w:r>
            <w:proofErr w:type="spellEnd"/>
            <w:r w:rsidRPr="005B38E9">
              <w:rPr>
                <w:b/>
                <w:bCs/>
              </w:rPr>
              <w:t>++</w:t>
            </w:r>
            <w:r>
              <w:rPr>
                <w:b/>
                <w:bCs/>
              </w:rPr>
              <w:t xml:space="preserve">”/ </w:t>
            </w:r>
            <w:proofErr w:type="spellStart"/>
            <w:r w:rsidR="004F4192">
              <w:t>Youth</w:t>
            </w:r>
            <w:proofErr w:type="spellEnd"/>
            <w:r w:rsidR="004F4192">
              <w:t xml:space="preserve"> </w:t>
            </w:r>
            <w:proofErr w:type="spellStart"/>
            <w:r w:rsidR="004F4192">
              <w:t>in</w:t>
            </w:r>
            <w:proofErr w:type="spellEnd"/>
            <w:r w:rsidR="004F4192">
              <w:t xml:space="preserve"> </w:t>
            </w:r>
            <w:proofErr w:type="spellStart"/>
            <w:r w:rsidR="004F4192">
              <w:t>the</w:t>
            </w:r>
            <w:proofErr w:type="spellEnd"/>
            <w:r w:rsidR="004F4192">
              <w:t xml:space="preserve"> </w:t>
            </w:r>
            <w:proofErr w:type="spellStart"/>
            <w:r w:rsidR="004F4192">
              <w:t>Flow</w:t>
            </w:r>
            <w:proofErr w:type="spellEnd"/>
            <w:r w:rsidR="004F4192">
              <w:t xml:space="preserve"> </w:t>
            </w:r>
            <w:proofErr w:type="spellStart"/>
            <w:r w:rsidR="004F4192">
              <w:t>of</w:t>
            </w:r>
            <w:proofErr w:type="spellEnd"/>
            <w:r w:rsidR="004F4192">
              <w:t xml:space="preserve"> </w:t>
            </w:r>
            <w:proofErr w:type="spellStart"/>
            <w:r w:rsidR="004F4192">
              <w:t>Work</w:t>
            </w:r>
            <w:proofErr w:type="spellEnd"/>
            <w:r w:rsidR="004F4192">
              <w:t xml:space="preserve"> </w:t>
            </w:r>
            <w:proofErr w:type="spellStart"/>
            <w:r w:rsidR="004F4192">
              <w:t>and</w:t>
            </w:r>
            <w:proofErr w:type="spellEnd"/>
            <w:r w:rsidR="004F4192">
              <w:t xml:space="preserve"> </w:t>
            </w:r>
            <w:proofErr w:type="spellStart"/>
            <w:r w:rsidR="004F4192">
              <w:t>Life</w:t>
            </w:r>
            <w:proofErr w:type="spellEnd"/>
          </w:p>
          <w:p w14:paraId="102A033E" w14:textId="64CD30BF" w:rsidR="00411241" w:rsidRPr="00411241" w:rsidRDefault="00411241" w:rsidP="00411241">
            <w:pPr>
              <w:spacing w:before="100" w:beforeAutospacing="1" w:after="100" w:afterAutospacing="1"/>
            </w:pPr>
          </w:p>
        </w:tc>
      </w:tr>
      <w:tr w:rsidR="009205E4" w:rsidRPr="00284E49" w14:paraId="3EF91788" w14:textId="77777777" w:rsidTr="00C7365C">
        <w:trPr>
          <w:trHeight w:val="632"/>
        </w:trPr>
        <w:tc>
          <w:tcPr>
            <w:tcW w:w="516" w:type="dxa"/>
            <w:tcBorders>
              <w:top w:val="nil"/>
              <w:left w:val="single" w:sz="8" w:space="0" w:color="auto"/>
              <w:bottom w:val="single" w:sz="8" w:space="0" w:color="auto"/>
              <w:right w:val="single" w:sz="4" w:space="0" w:color="auto"/>
            </w:tcBorders>
            <w:hideMark/>
          </w:tcPr>
          <w:p w14:paraId="2B6F6A74" w14:textId="77777777" w:rsidR="009205E4" w:rsidRPr="00284E49" w:rsidRDefault="009205E4" w:rsidP="002C49EF">
            <w:r w:rsidRPr="00284E49">
              <w:t>3.</w:t>
            </w:r>
          </w:p>
        </w:tc>
        <w:tc>
          <w:tcPr>
            <w:tcW w:w="3171" w:type="dxa"/>
            <w:tcBorders>
              <w:top w:val="nil"/>
              <w:left w:val="nil"/>
              <w:bottom w:val="single" w:sz="8" w:space="0" w:color="auto"/>
              <w:right w:val="single" w:sz="4" w:space="0" w:color="auto"/>
            </w:tcBorders>
            <w:hideMark/>
          </w:tcPr>
          <w:p w14:paraId="6C53ADDE" w14:textId="77777777" w:rsidR="009205E4" w:rsidRPr="00284E49" w:rsidRDefault="009205E4" w:rsidP="002C49EF">
            <w:pPr>
              <w:rPr>
                <w:b/>
                <w:bCs/>
              </w:rPr>
            </w:pPr>
            <w:r w:rsidRPr="00284E49">
              <w:rPr>
                <w:b/>
              </w:rPr>
              <w:t xml:space="preserve">Projekta statuss uz idejas iesniegšanas brīdi </w:t>
            </w:r>
            <w:r w:rsidRPr="00284E49">
              <w:t>(piemēram, uzsākta projekta izstrāde, izstrādāts tehniskais projekts, projekts sagatavots iesniegšanai otrajā atlases kārtā)</w:t>
            </w:r>
          </w:p>
        </w:tc>
        <w:tc>
          <w:tcPr>
            <w:tcW w:w="5953" w:type="dxa"/>
            <w:tcBorders>
              <w:top w:val="nil"/>
              <w:left w:val="nil"/>
              <w:bottom w:val="single" w:sz="8" w:space="0" w:color="auto"/>
              <w:right w:val="single" w:sz="8" w:space="0" w:color="auto"/>
            </w:tcBorders>
          </w:tcPr>
          <w:p w14:paraId="614213A9" w14:textId="77777777" w:rsidR="009205E4" w:rsidRPr="00284E49" w:rsidRDefault="009205E4" w:rsidP="002C49EF">
            <w:r w:rsidRPr="00284E49">
              <w:t>Uzsākta projekta izstrāde projektu ideju pieteikumu atlasei</w:t>
            </w:r>
          </w:p>
        </w:tc>
      </w:tr>
      <w:tr w:rsidR="009205E4" w:rsidRPr="00284E49" w14:paraId="1A25E264" w14:textId="77777777" w:rsidTr="00C7365C">
        <w:trPr>
          <w:trHeight w:val="632"/>
        </w:trPr>
        <w:tc>
          <w:tcPr>
            <w:tcW w:w="516" w:type="dxa"/>
            <w:tcBorders>
              <w:top w:val="nil"/>
              <w:left w:val="single" w:sz="8" w:space="0" w:color="auto"/>
              <w:bottom w:val="single" w:sz="8" w:space="0" w:color="auto"/>
              <w:right w:val="single" w:sz="4" w:space="0" w:color="auto"/>
            </w:tcBorders>
            <w:hideMark/>
          </w:tcPr>
          <w:p w14:paraId="75088DC7" w14:textId="77777777" w:rsidR="009205E4" w:rsidRPr="00284E49" w:rsidRDefault="009205E4" w:rsidP="002C49EF">
            <w:r w:rsidRPr="00284E49">
              <w:t xml:space="preserve">4. </w:t>
            </w:r>
          </w:p>
        </w:tc>
        <w:tc>
          <w:tcPr>
            <w:tcW w:w="3171" w:type="dxa"/>
            <w:tcBorders>
              <w:top w:val="nil"/>
              <w:left w:val="nil"/>
              <w:bottom w:val="single" w:sz="8" w:space="0" w:color="auto"/>
              <w:right w:val="single" w:sz="4" w:space="0" w:color="auto"/>
            </w:tcBorders>
            <w:hideMark/>
          </w:tcPr>
          <w:p w14:paraId="6433EF2C" w14:textId="77777777" w:rsidR="009205E4" w:rsidRPr="00284E49" w:rsidRDefault="009205E4" w:rsidP="002C49EF">
            <w:pPr>
              <w:rPr>
                <w:b/>
                <w:bCs/>
              </w:rPr>
            </w:pPr>
            <w:r w:rsidRPr="00284E49">
              <w:rPr>
                <w:b/>
                <w:bCs/>
              </w:rPr>
              <w:t>Programmas</w:t>
            </w:r>
            <w:r w:rsidRPr="00284E49">
              <w:t xml:space="preserve">/aktivitātes, kurā plānots pieteikt projektu, </w:t>
            </w:r>
            <w:r w:rsidRPr="00284E49">
              <w:rPr>
                <w:b/>
                <w:bCs/>
              </w:rPr>
              <w:t>pilns nosaukums latviešu un angļu valoda (ja attiecināms)</w:t>
            </w:r>
          </w:p>
          <w:p w14:paraId="376B49C5" w14:textId="77777777" w:rsidR="009205E4" w:rsidRPr="00284E49" w:rsidRDefault="009205E4" w:rsidP="002C49EF">
            <w:pPr>
              <w:rPr>
                <w:b/>
                <w:bCs/>
              </w:rPr>
            </w:pPr>
            <w:r w:rsidRPr="00284E49">
              <w:t xml:space="preserve">Datumi, no kura </w:t>
            </w:r>
            <w:r w:rsidRPr="00284E49">
              <w:rPr>
                <w:b/>
              </w:rPr>
              <w:t>līdz kuram</w:t>
            </w:r>
            <w:r w:rsidRPr="00284E49">
              <w:t xml:space="preserve"> projektus var iesniegt programmā, </w:t>
            </w:r>
            <w:r w:rsidRPr="00284E49">
              <w:rPr>
                <w:b/>
              </w:rPr>
              <w:t>saite uz programmas tīmekļa vietni</w:t>
            </w:r>
            <w:r w:rsidRPr="00284E49">
              <w:t>,  kur norādīti programmas līdzfinansējuma saņemšanas nosacījumi</w:t>
            </w:r>
          </w:p>
        </w:tc>
        <w:tc>
          <w:tcPr>
            <w:tcW w:w="5953" w:type="dxa"/>
            <w:tcBorders>
              <w:top w:val="nil"/>
              <w:left w:val="nil"/>
              <w:bottom w:val="single" w:sz="8" w:space="0" w:color="auto"/>
              <w:right w:val="single" w:sz="8" w:space="0" w:color="auto"/>
            </w:tcBorders>
          </w:tcPr>
          <w:p w14:paraId="29F9DBCA" w14:textId="77777777" w:rsidR="009205E4" w:rsidRPr="00284E49" w:rsidRDefault="009205E4" w:rsidP="002C49EF">
            <w:pPr>
              <w:rPr>
                <w:rStyle w:val="Izteiksmgs"/>
                <w:b w:val="0"/>
                <w:bCs w:val="0"/>
                <w:shd w:val="clear" w:color="auto" w:fill="FFFFFF"/>
              </w:rPr>
            </w:pPr>
            <w:r w:rsidRPr="00284E49">
              <w:t xml:space="preserve"> </w:t>
            </w:r>
            <w:r w:rsidRPr="00284E49">
              <w:rPr>
                <w:rStyle w:val="Virsraksts3Rakstz"/>
                <w:sz w:val="24"/>
                <w:szCs w:val="24"/>
                <w:shd w:val="clear" w:color="auto" w:fill="FFFFFF"/>
              </w:rPr>
              <w:t xml:space="preserve"> </w:t>
            </w:r>
            <w:proofErr w:type="spellStart"/>
            <w:r w:rsidRPr="00284E49">
              <w:rPr>
                <w:rStyle w:val="Virsraksts3Rakstz"/>
                <w:sz w:val="24"/>
                <w:szCs w:val="24"/>
                <w:shd w:val="clear" w:color="auto" w:fill="FFFFFF"/>
              </w:rPr>
              <w:t>I</w:t>
            </w:r>
            <w:r w:rsidRPr="00284E49">
              <w:rPr>
                <w:rStyle w:val="Izteiksmgs"/>
                <w:shd w:val="clear" w:color="auto" w:fill="FFFFFF"/>
              </w:rPr>
              <w:t>nterreg</w:t>
            </w:r>
            <w:proofErr w:type="spellEnd"/>
            <w:r w:rsidRPr="00284E49">
              <w:rPr>
                <w:rStyle w:val="Izteiksmgs"/>
                <w:shd w:val="clear" w:color="auto" w:fill="FFFFFF"/>
              </w:rPr>
              <w:t xml:space="preserve"> </w:t>
            </w:r>
            <w:proofErr w:type="spellStart"/>
            <w:r w:rsidRPr="00284E49">
              <w:rPr>
                <w:rStyle w:val="Izteiksmgs"/>
                <w:shd w:val="clear" w:color="auto" w:fill="FFFFFF"/>
              </w:rPr>
              <w:t>Central</w:t>
            </w:r>
            <w:proofErr w:type="spellEnd"/>
            <w:r w:rsidRPr="00284E49">
              <w:rPr>
                <w:rStyle w:val="Izteiksmgs"/>
                <w:shd w:val="clear" w:color="auto" w:fill="FFFFFF"/>
              </w:rPr>
              <w:t xml:space="preserve"> </w:t>
            </w:r>
            <w:proofErr w:type="spellStart"/>
            <w:r w:rsidRPr="00284E49">
              <w:rPr>
                <w:rStyle w:val="Izteiksmgs"/>
                <w:shd w:val="clear" w:color="auto" w:fill="FFFFFF"/>
              </w:rPr>
              <w:t>Baltic</w:t>
            </w:r>
            <w:proofErr w:type="spellEnd"/>
            <w:r w:rsidRPr="00284E49">
              <w:rPr>
                <w:rStyle w:val="Izteiksmgs"/>
                <w:shd w:val="clear" w:color="auto" w:fill="FFFFFF"/>
              </w:rPr>
              <w:t xml:space="preserve"> </w:t>
            </w:r>
            <w:proofErr w:type="spellStart"/>
            <w:r w:rsidRPr="00284E49">
              <w:rPr>
                <w:rStyle w:val="Izteiksmgs"/>
                <w:shd w:val="clear" w:color="auto" w:fill="FFFFFF"/>
              </w:rPr>
              <w:t>Programme</w:t>
            </w:r>
            <w:proofErr w:type="spellEnd"/>
            <w:r w:rsidRPr="00284E49">
              <w:rPr>
                <w:rStyle w:val="Izteiksmgs"/>
                <w:shd w:val="clear" w:color="auto" w:fill="FFFFFF"/>
              </w:rPr>
              <w:t xml:space="preserve">, </w:t>
            </w:r>
            <w:proofErr w:type="spellStart"/>
            <w:r w:rsidRPr="00284E49">
              <w:rPr>
                <w:rStyle w:val="Izteiksmgs"/>
                <w:shd w:val="clear" w:color="auto" w:fill="FFFFFF"/>
              </w:rPr>
              <w:t>Fifth</w:t>
            </w:r>
            <w:proofErr w:type="spellEnd"/>
            <w:r w:rsidRPr="00284E49">
              <w:rPr>
                <w:rStyle w:val="Izteiksmgs"/>
                <w:shd w:val="clear" w:color="auto" w:fill="FFFFFF"/>
              </w:rPr>
              <w:t xml:space="preserve"> </w:t>
            </w:r>
            <w:proofErr w:type="spellStart"/>
            <w:r w:rsidRPr="00284E49">
              <w:rPr>
                <w:rStyle w:val="Izteiksmgs"/>
                <w:shd w:val="clear" w:color="auto" w:fill="FFFFFF"/>
              </w:rPr>
              <w:t>Call</w:t>
            </w:r>
            <w:proofErr w:type="spellEnd"/>
            <w:r w:rsidRPr="00284E49">
              <w:rPr>
                <w:rStyle w:val="Izteiksmgs"/>
                <w:shd w:val="clear" w:color="auto" w:fill="FFFFFF"/>
              </w:rPr>
              <w:t xml:space="preserve"> </w:t>
            </w:r>
            <w:proofErr w:type="spellStart"/>
            <w:r w:rsidRPr="00284E49">
              <w:rPr>
                <w:rStyle w:val="Izteiksmgs"/>
                <w:shd w:val="clear" w:color="auto" w:fill="FFFFFF"/>
              </w:rPr>
              <w:t>for</w:t>
            </w:r>
            <w:proofErr w:type="spellEnd"/>
            <w:r w:rsidRPr="00284E49">
              <w:rPr>
                <w:rStyle w:val="Izteiksmgs"/>
                <w:shd w:val="clear" w:color="auto" w:fill="FFFFFF"/>
              </w:rPr>
              <w:t xml:space="preserve"> Project </w:t>
            </w:r>
            <w:proofErr w:type="spellStart"/>
            <w:r w:rsidRPr="00284E49">
              <w:rPr>
                <w:rStyle w:val="Izteiksmgs"/>
                <w:shd w:val="clear" w:color="auto" w:fill="FFFFFF"/>
              </w:rPr>
              <w:t>Proposals</w:t>
            </w:r>
            <w:proofErr w:type="spellEnd"/>
          </w:p>
          <w:p w14:paraId="7171AA53" w14:textId="77777777" w:rsidR="009205E4" w:rsidRPr="00284E49" w:rsidRDefault="009205E4" w:rsidP="002C49EF">
            <w:proofErr w:type="spellStart"/>
            <w:r w:rsidRPr="00284E49">
              <w:t>Interreg</w:t>
            </w:r>
            <w:proofErr w:type="spellEnd"/>
            <w:r w:rsidRPr="00284E49">
              <w:t xml:space="preserve"> </w:t>
            </w:r>
            <w:proofErr w:type="spellStart"/>
            <w:r w:rsidRPr="00284E49">
              <w:t>CentrālBaltijas</w:t>
            </w:r>
            <w:proofErr w:type="spellEnd"/>
            <w:r w:rsidRPr="00284E49">
              <w:t xml:space="preserve"> Programma, piektais uzsaukums </w:t>
            </w:r>
          </w:p>
          <w:p w14:paraId="30A0191B" w14:textId="77777777" w:rsidR="009205E4" w:rsidRPr="00284E49" w:rsidRDefault="00C7365C" w:rsidP="002C49EF">
            <w:pPr>
              <w:rPr>
                <w:rStyle w:val="Izteiksmgs"/>
                <w:shd w:val="clear" w:color="auto" w:fill="FFFFFF"/>
              </w:rPr>
            </w:pPr>
            <w:hyperlink r:id="rId5" w:history="1">
              <w:r w:rsidR="009205E4" w:rsidRPr="00284E49">
                <w:rPr>
                  <w:rStyle w:val="Hipersaite"/>
                  <w:shd w:val="clear" w:color="auto" w:fill="FFFFFF"/>
                </w:rPr>
                <w:t>https://centralbaltic.eu/fifth-call-for-project-proposals/</w:t>
              </w:r>
            </w:hyperlink>
            <w:r w:rsidR="009205E4" w:rsidRPr="00284E49">
              <w:rPr>
                <w:rStyle w:val="Izteiksmgs"/>
                <w:shd w:val="clear" w:color="auto" w:fill="FFFFFF"/>
              </w:rPr>
              <w:t xml:space="preserve"> </w:t>
            </w:r>
          </w:p>
          <w:p w14:paraId="08EFEA77" w14:textId="77777777" w:rsidR="009205E4" w:rsidRPr="00284E49" w:rsidRDefault="009205E4" w:rsidP="002C49EF"/>
          <w:p w14:paraId="77029FE8" w14:textId="77777777" w:rsidR="009205E4" w:rsidRPr="00284E49" w:rsidRDefault="009205E4" w:rsidP="002C49EF">
            <w:r w:rsidRPr="00284E49">
              <w:t xml:space="preserve">01.08.2025 – 30.09.2025 </w:t>
            </w:r>
          </w:p>
          <w:p w14:paraId="3ABD8ED4" w14:textId="77777777" w:rsidR="009205E4" w:rsidRPr="00284E49" w:rsidRDefault="009205E4" w:rsidP="002C49EF"/>
          <w:p w14:paraId="4EB21925" w14:textId="77777777" w:rsidR="009205E4" w:rsidRPr="009205E4" w:rsidRDefault="009205E4" w:rsidP="009205E4">
            <w:pPr>
              <w:pStyle w:val="Virsraksts1"/>
              <w:shd w:val="clear" w:color="auto" w:fill="FFFFFF"/>
              <w:spacing w:before="0" w:after="120"/>
              <w:rPr>
                <w:rFonts w:ascii="Times New Roman" w:hAnsi="Times New Roman" w:cs="Times New Roman"/>
                <w:color w:val="auto"/>
                <w:sz w:val="24"/>
                <w:szCs w:val="24"/>
                <w:lang w:val="en-US" w:eastAsia="en-US"/>
              </w:rPr>
            </w:pPr>
            <w:r w:rsidRPr="009205E4">
              <w:rPr>
                <w:rFonts w:ascii="Times New Roman" w:hAnsi="Times New Roman" w:cs="Times New Roman"/>
                <w:color w:val="auto"/>
                <w:sz w:val="24"/>
                <w:szCs w:val="24"/>
              </w:rPr>
              <w:t xml:space="preserve">6. </w:t>
            </w:r>
            <w:proofErr w:type="spellStart"/>
            <w:r w:rsidRPr="009205E4">
              <w:rPr>
                <w:rFonts w:ascii="Times New Roman" w:hAnsi="Times New Roman" w:cs="Times New Roman"/>
                <w:color w:val="auto"/>
                <w:sz w:val="24"/>
                <w:szCs w:val="24"/>
              </w:rPr>
              <w:t>Improved</w:t>
            </w:r>
            <w:proofErr w:type="spellEnd"/>
            <w:r w:rsidRPr="009205E4">
              <w:rPr>
                <w:rFonts w:ascii="Times New Roman" w:hAnsi="Times New Roman" w:cs="Times New Roman"/>
                <w:color w:val="auto"/>
                <w:sz w:val="24"/>
                <w:szCs w:val="24"/>
              </w:rPr>
              <w:t xml:space="preserve"> </w:t>
            </w:r>
            <w:proofErr w:type="spellStart"/>
            <w:r w:rsidRPr="009205E4">
              <w:rPr>
                <w:rFonts w:ascii="Times New Roman" w:hAnsi="Times New Roman" w:cs="Times New Roman"/>
                <w:color w:val="auto"/>
                <w:sz w:val="24"/>
                <w:szCs w:val="24"/>
              </w:rPr>
              <w:t>employment</w:t>
            </w:r>
            <w:proofErr w:type="spellEnd"/>
            <w:r w:rsidRPr="009205E4">
              <w:rPr>
                <w:rFonts w:ascii="Times New Roman" w:hAnsi="Times New Roman" w:cs="Times New Roman"/>
                <w:color w:val="auto"/>
                <w:sz w:val="24"/>
                <w:szCs w:val="24"/>
              </w:rPr>
              <w:t xml:space="preserve"> </w:t>
            </w:r>
            <w:proofErr w:type="spellStart"/>
            <w:r w:rsidRPr="009205E4">
              <w:rPr>
                <w:rFonts w:ascii="Times New Roman" w:hAnsi="Times New Roman" w:cs="Times New Roman"/>
                <w:color w:val="auto"/>
                <w:sz w:val="24"/>
                <w:szCs w:val="24"/>
              </w:rPr>
              <w:t>opportunities</w:t>
            </w:r>
            <w:proofErr w:type="spellEnd"/>
            <w:r w:rsidRPr="009205E4">
              <w:rPr>
                <w:rFonts w:ascii="Times New Roman" w:hAnsi="Times New Roman" w:cs="Times New Roman"/>
                <w:color w:val="auto"/>
                <w:sz w:val="24"/>
                <w:szCs w:val="24"/>
              </w:rPr>
              <w:t xml:space="preserve"> </w:t>
            </w:r>
            <w:proofErr w:type="spellStart"/>
            <w:r w:rsidRPr="009205E4">
              <w:rPr>
                <w:rFonts w:ascii="Times New Roman" w:hAnsi="Times New Roman" w:cs="Times New Roman"/>
                <w:color w:val="auto"/>
                <w:sz w:val="24"/>
                <w:szCs w:val="24"/>
              </w:rPr>
              <w:t>on</w:t>
            </w:r>
            <w:proofErr w:type="spellEnd"/>
            <w:r w:rsidRPr="009205E4">
              <w:rPr>
                <w:rFonts w:ascii="Times New Roman" w:hAnsi="Times New Roman" w:cs="Times New Roman"/>
                <w:color w:val="auto"/>
                <w:sz w:val="24"/>
                <w:szCs w:val="24"/>
              </w:rPr>
              <w:t xml:space="preserve"> </w:t>
            </w:r>
            <w:proofErr w:type="spellStart"/>
            <w:r w:rsidRPr="009205E4">
              <w:rPr>
                <w:rFonts w:ascii="Times New Roman" w:hAnsi="Times New Roman" w:cs="Times New Roman"/>
                <w:color w:val="auto"/>
                <w:sz w:val="24"/>
                <w:szCs w:val="24"/>
              </w:rPr>
              <w:t>labour</w:t>
            </w:r>
            <w:proofErr w:type="spellEnd"/>
            <w:r w:rsidRPr="009205E4">
              <w:rPr>
                <w:rFonts w:ascii="Times New Roman" w:hAnsi="Times New Roman" w:cs="Times New Roman"/>
                <w:color w:val="auto"/>
                <w:sz w:val="24"/>
                <w:szCs w:val="24"/>
              </w:rPr>
              <w:t xml:space="preserve"> </w:t>
            </w:r>
            <w:proofErr w:type="spellStart"/>
            <w:r w:rsidRPr="009205E4">
              <w:rPr>
                <w:rFonts w:ascii="Times New Roman" w:hAnsi="Times New Roman" w:cs="Times New Roman"/>
                <w:color w:val="auto"/>
                <w:sz w:val="24"/>
                <w:szCs w:val="24"/>
              </w:rPr>
              <w:t>market</w:t>
            </w:r>
            <w:proofErr w:type="spellEnd"/>
          </w:p>
          <w:p w14:paraId="151D251F" w14:textId="4DB6E9CC" w:rsidR="009205E4" w:rsidRPr="009205E4" w:rsidRDefault="00C7365C" w:rsidP="002C49EF">
            <w:pPr>
              <w:rPr>
                <w:lang w:val="en-US"/>
              </w:rPr>
            </w:pPr>
            <w:hyperlink r:id="rId6" w:history="1">
              <w:r w:rsidR="009205E4" w:rsidRPr="00AB6D20">
                <w:rPr>
                  <w:rStyle w:val="Hipersaite"/>
                  <w:lang w:val="en-US"/>
                </w:rPr>
                <w:t>https://centralbaltic.eu/programme/programme-objectives/labourmarket/</w:t>
              </w:r>
            </w:hyperlink>
            <w:r w:rsidR="009205E4">
              <w:rPr>
                <w:lang w:val="en-US"/>
              </w:rPr>
              <w:t xml:space="preserve"> </w:t>
            </w:r>
          </w:p>
        </w:tc>
      </w:tr>
      <w:tr w:rsidR="009205E4" w:rsidRPr="00C25DC2" w14:paraId="20E90DFD" w14:textId="77777777" w:rsidTr="00C7365C">
        <w:trPr>
          <w:trHeight w:val="831"/>
        </w:trPr>
        <w:tc>
          <w:tcPr>
            <w:tcW w:w="516" w:type="dxa"/>
            <w:tcBorders>
              <w:top w:val="nil"/>
              <w:left w:val="single" w:sz="8" w:space="0" w:color="auto"/>
              <w:bottom w:val="single" w:sz="8" w:space="0" w:color="auto"/>
              <w:right w:val="single" w:sz="4" w:space="0" w:color="auto"/>
            </w:tcBorders>
            <w:hideMark/>
          </w:tcPr>
          <w:p w14:paraId="3A6ADEC9" w14:textId="77777777" w:rsidR="009205E4" w:rsidRPr="00284E49" w:rsidRDefault="009205E4" w:rsidP="002C49EF">
            <w:r w:rsidRPr="00284E49">
              <w:t xml:space="preserve">5. </w:t>
            </w:r>
          </w:p>
        </w:tc>
        <w:tc>
          <w:tcPr>
            <w:tcW w:w="3171" w:type="dxa"/>
            <w:tcBorders>
              <w:top w:val="nil"/>
              <w:left w:val="nil"/>
              <w:bottom w:val="single" w:sz="8" w:space="0" w:color="auto"/>
              <w:right w:val="single" w:sz="4" w:space="0" w:color="auto"/>
            </w:tcBorders>
          </w:tcPr>
          <w:p w14:paraId="30F1914C" w14:textId="77777777" w:rsidR="009205E4" w:rsidRPr="00284E49" w:rsidRDefault="009205E4" w:rsidP="002C49EF">
            <w:pPr>
              <w:rPr>
                <w:b/>
                <w:bCs/>
              </w:rPr>
            </w:pPr>
            <w:r w:rsidRPr="00284E49">
              <w:t xml:space="preserve">Īss projekta ietvaros </w:t>
            </w:r>
            <w:r w:rsidRPr="00284E49">
              <w:rPr>
                <w:b/>
                <w:bCs/>
              </w:rPr>
              <w:t xml:space="preserve">plānoto darbību apraksts </w:t>
            </w:r>
            <w:r w:rsidRPr="00284E49">
              <w:rPr>
                <w:bCs/>
              </w:rPr>
              <w:t>(darbības, pasākumi, arī mērķa grupas)</w:t>
            </w:r>
            <w:r w:rsidRPr="00284E49">
              <w:rPr>
                <w:b/>
                <w:bCs/>
              </w:rPr>
              <w:t xml:space="preserve"> </w:t>
            </w:r>
          </w:p>
          <w:p w14:paraId="3E5FE701" w14:textId="77777777" w:rsidR="009205E4" w:rsidRPr="00284E49" w:rsidRDefault="009205E4" w:rsidP="002C49EF">
            <w:pPr>
              <w:jc w:val="both"/>
            </w:pPr>
          </w:p>
          <w:p w14:paraId="002DD567" w14:textId="77777777" w:rsidR="009205E4" w:rsidRPr="00284E49" w:rsidRDefault="009205E4" w:rsidP="002C49EF"/>
          <w:p w14:paraId="79608131" w14:textId="77777777" w:rsidR="009205E4" w:rsidRPr="00284E49" w:rsidRDefault="009205E4" w:rsidP="002C49EF"/>
        </w:tc>
        <w:tc>
          <w:tcPr>
            <w:tcW w:w="5953" w:type="dxa"/>
            <w:tcBorders>
              <w:top w:val="nil"/>
              <w:left w:val="nil"/>
              <w:bottom w:val="single" w:sz="8" w:space="0" w:color="auto"/>
              <w:right w:val="single" w:sz="8" w:space="0" w:color="auto"/>
            </w:tcBorders>
            <w:hideMark/>
          </w:tcPr>
          <w:p w14:paraId="06493E86" w14:textId="77777777" w:rsidR="009205E4" w:rsidRPr="00775EBF" w:rsidRDefault="009205E4" w:rsidP="002C49EF">
            <w:pPr>
              <w:pStyle w:val="Bezatstarpm"/>
              <w:jc w:val="both"/>
              <w:rPr>
                <w:bCs/>
                <w:u w:val="single"/>
              </w:rPr>
            </w:pPr>
            <w:r w:rsidRPr="00775EBF">
              <w:rPr>
                <w:bCs/>
                <w:u w:val="single"/>
              </w:rPr>
              <w:t>Projekta mērķis:</w:t>
            </w:r>
          </w:p>
          <w:p w14:paraId="194656F2" w14:textId="4A05EF55" w:rsidR="009205E4" w:rsidRPr="00775EBF" w:rsidRDefault="00D95924" w:rsidP="00D95924">
            <w:pPr>
              <w:pStyle w:val="Bezatstarpm"/>
              <w:autoSpaceDE w:val="0"/>
              <w:autoSpaceDN w:val="0"/>
              <w:adjustRightInd w:val="0"/>
              <w:jc w:val="both"/>
              <w:rPr>
                <w:bCs/>
              </w:rPr>
            </w:pPr>
            <w:r w:rsidRPr="00775EBF">
              <w:t xml:space="preserve">Veicināt NEET (nestrādājošo un nemācošos) jauniešu vecumā līdz 25 gadiem, ieskaitot Ukrainas bēgļu jauniešus, nodarbinātību un sociālo iekļaušanu Zviedrijas Upsalas un Latvijas Zemgales reģionos, sniedzot atbilstošas apmācības, </w:t>
            </w:r>
            <w:proofErr w:type="spellStart"/>
            <w:r w:rsidRPr="00775EBF">
              <w:t>mentoringu</w:t>
            </w:r>
            <w:proofErr w:type="spellEnd"/>
            <w:r w:rsidRPr="00775EBF">
              <w:t xml:space="preserve"> un prakses iespējas, lai uzlabotu viņu konkurētspēju darba tirgū.</w:t>
            </w:r>
          </w:p>
          <w:p w14:paraId="3A824161" w14:textId="47003C83" w:rsidR="009205E4" w:rsidRPr="00775EBF" w:rsidRDefault="009205E4" w:rsidP="002C49EF">
            <w:pPr>
              <w:pStyle w:val="Paraststmeklis"/>
              <w:rPr>
                <w:bCs/>
                <w:lang w:val="lv-LV"/>
              </w:rPr>
            </w:pPr>
            <w:r w:rsidRPr="00775EBF">
              <w:rPr>
                <w:bCs/>
                <w:u w:val="single"/>
                <w:lang w:val="lv-LV"/>
              </w:rPr>
              <w:t>Projekta mērķa grupa</w:t>
            </w:r>
            <w:r w:rsidRPr="00775EBF">
              <w:rPr>
                <w:bCs/>
                <w:lang w:val="lv-LV"/>
              </w:rPr>
              <w:t xml:space="preserve">:  </w:t>
            </w:r>
            <w:r w:rsidR="00FD1844" w:rsidRPr="00775EBF">
              <w:rPr>
                <w:bCs/>
                <w:lang w:val="lv-LV"/>
              </w:rPr>
              <w:t>jaunieši līdz 25 gadiem, tai skaitā Ukrainas bēgļu jaunieši, kas dzīvo Upsalas reģionā un Zemgales reģionā, kas nestrādā un nemācās (NEET)</w:t>
            </w:r>
          </w:p>
          <w:p w14:paraId="173B3300" w14:textId="22D82506" w:rsidR="00FD1844" w:rsidRPr="00775EBF" w:rsidRDefault="00FD1844" w:rsidP="00FD1844">
            <w:pPr>
              <w:pStyle w:val="Paraststmeklis"/>
              <w:rPr>
                <w:bCs/>
                <w:lang w:val="lv-LV"/>
              </w:rPr>
            </w:pPr>
            <w:r w:rsidRPr="00775EBF">
              <w:rPr>
                <w:b/>
                <w:lang w:val="lv-LV"/>
              </w:rPr>
              <w:t>Problēmas definēšana:</w:t>
            </w:r>
            <w:r w:rsidRPr="00775EBF">
              <w:rPr>
                <w:bCs/>
                <w:lang w:val="lv-LV"/>
              </w:rPr>
              <w:t xml:space="preserve"> Projekts risina problēmu, ar kuru saskaras NEET (nestrādājošie un nemācošies) jaunieši līdz 25 gadiem, ieskaitot Ukrainas bēgļu jauniešus, Zviedrijas Upsalas un Latvijas Zemgales reģionos. Šī problēma var ietvert prasmju trūkumu, motivācijas trūkumu, sociālo </w:t>
            </w:r>
            <w:r w:rsidRPr="00775EBF">
              <w:rPr>
                <w:bCs/>
                <w:lang w:val="lv-LV"/>
              </w:rPr>
              <w:lastRenderedPageBreak/>
              <w:t>atstumtību, kā arī valodu un kultūras barjeras, īpaši Ukrainas jauniešiem.</w:t>
            </w:r>
          </w:p>
          <w:p w14:paraId="53B99A38" w14:textId="77777777" w:rsidR="00C25DC2" w:rsidRPr="00775EBF" w:rsidRDefault="00C25DC2" w:rsidP="00C25DC2">
            <w:pPr>
              <w:pStyle w:val="Virsraksts3"/>
              <w:rPr>
                <w:sz w:val="24"/>
                <w:szCs w:val="24"/>
                <w:lang w:eastAsia="en-US"/>
              </w:rPr>
            </w:pPr>
            <w:r w:rsidRPr="00775EBF">
              <w:rPr>
                <w:sz w:val="24"/>
                <w:szCs w:val="24"/>
              </w:rPr>
              <w:t>Projekta aktivitāšu kopsavilkums</w:t>
            </w:r>
          </w:p>
          <w:p w14:paraId="125E3B93" w14:textId="1D236244" w:rsidR="00C25DC2" w:rsidRPr="00775EBF" w:rsidRDefault="00C25DC2" w:rsidP="00C25DC2">
            <w:pPr>
              <w:pStyle w:val="Paraststmeklis"/>
              <w:rPr>
                <w:lang w:val="lv-LV"/>
              </w:rPr>
            </w:pPr>
            <w:r w:rsidRPr="00775EBF">
              <w:rPr>
                <w:lang w:val="lv-LV"/>
              </w:rPr>
              <w:t xml:space="preserve">Jauniešiem </w:t>
            </w:r>
          </w:p>
          <w:p w14:paraId="44203917" w14:textId="77777777" w:rsidR="00C25DC2" w:rsidRPr="00775EBF" w:rsidRDefault="00C25DC2" w:rsidP="00C25DC2">
            <w:pPr>
              <w:pStyle w:val="Virsraksts4"/>
              <w:rPr>
                <w:rFonts w:ascii="Times New Roman" w:hAnsi="Times New Roman" w:cs="Times New Roman"/>
              </w:rPr>
            </w:pPr>
            <w:r w:rsidRPr="00775EBF">
              <w:rPr>
                <w:rFonts w:ascii="Times New Roman" w:hAnsi="Times New Roman" w:cs="Times New Roman"/>
              </w:rPr>
              <w:t xml:space="preserve">1. Radošās "Talantu laboratorijas" un Digitālais </w:t>
            </w:r>
            <w:proofErr w:type="spellStart"/>
            <w:r w:rsidRPr="00775EBF">
              <w:rPr>
                <w:rFonts w:ascii="Times New Roman" w:hAnsi="Times New Roman" w:cs="Times New Roman"/>
              </w:rPr>
              <w:t>portfolijs</w:t>
            </w:r>
            <w:proofErr w:type="spellEnd"/>
          </w:p>
          <w:p w14:paraId="233AF429" w14:textId="77777777" w:rsidR="00C25DC2" w:rsidRPr="00775EBF" w:rsidRDefault="00C25DC2" w:rsidP="00C25DC2">
            <w:pPr>
              <w:pStyle w:val="Paraststmeklis"/>
              <w:rPr>
                <w:lang w:val="lv-LV"/>
              </w:rPr>
            </w:pPr>
            <w:r w:rsidRPr="00775EBF">
              <w:rPr>
                <w:lang w:val="lv-LV"/>
              </w:rPr>
              <w:t xml:space="preserve">Projekts sāksies ar radošām darbnīcām, kurās jaunieši, izmantojot vizuālo mākslu un digitālos rīkus, veidos </w:t>
            </w:r>
            <w:r w:rsidRPr="00775EBF">
              <w:rPr>
                <w:b/>
                <w:bCs/>
                <w:lang w:val="lv-LV"/>
              </w:rPr>
              <w:t xml:space="preserve">interaktīvu </w:t>
            </w:r>
            <w:proofErr w:type="spellStart"/>
            <w:r w:rsidRPr="00775EBF">
              <w:rPr>
                <w:b/>
                <w:bCs/>
                <w:lang w:val="lv-LV"/>
              </w:rPr>
              <w:t>portfolio</w:t>
            </w:r>
            <w:proofErr w:type="spellEnd"/>
            <w:r w:rsidRPr="00775EBF">
              <w:rPr>
                <w:lang w:val="lv-LV"/>
              </w:rPr>
              <w:t xml:space="preserve">. Šis </w:t>
            </w:r>
            <w:proofErr w:type="spellStart"/>
            <w:r w:rsidRPr="00775EBF">
              <w:rPr>
                <w:lang w:val="lv-LV"/>
              </w:rPr>
              <w:t>portfolio</w:t>
            </w:r>
            <w:proofErr w:type="spellEnd"/>
            <w:r w:rsidRPr="00775EBF">
              <w:rPr>
                <w:lang w:val="lv-LV"/>
              </w:rPr>
              <w:t xml:space="preserve"> kļūs par galveno rīku, ko viņi izmantos, lai prezentētu sevi darba devējiem, kā arī par pamatu nākamajām aktivitātēm.</w:t>
            </w:r>
          </w:p>
          <w:p w14:paraId="27B58357" w14:textId="77777777" w:rsidR="00C25DC2" w:rsidRPr="00775EBF" w:rsidRDefault="00C25DC2" w:rsidP="00C25DC2">
            <w:pPr>
              <w:pStyle w:val="Virsraksts4"/>
              <w:rPr>
                <w:rFonts w:ascii="Times New Roman" w:hAnsi="Times New Roman" w:cs="Times New Roman"/>
              </w:rPr>
            </w:pPr>
            <w:r w:rsidRPr="00775EBF">
              <w:rPr>
                <w:rFonts w:ascii="Times New Roman" w:hAnsi="Times New Roman" w:cs="Times New Roman"/>
              </w:rPr>
              <w:t>2. "Karjeras piedzīvojumu" galda spēle</w:t>
            </w:r>
          </w:p>
          <w:p w14:paraId="797C6E27" w14:textId="77777777" w:rsidR="00C25DC2" w:rsidRPr="00775EBF" w:rsidRDefault="00C25DC2" w:rsidP="00C25DC2">
            <w:pPr>
              <w:pStyle w:val="Paraststmeklis"/>
              <w:rPr>
                <w:lang w:val="lv-LV"/>
              </w:rPr>
            </w:pPr>
            <w:r w:rsidRPr="00775EBF">
              <w:rPr>
                <w:lang w:val="lv-LV"/>
              </w:rPr>
              <w:t>Lai padarītu karjeras izpēti saistošu, tiks izstrādāta fiziska galda spēle. Spēles laikā jaunieši izspēlēs dažādas ar karjeru saistītas situācijas un veidos izpratni par darba tirgu. Tā veicinās komandas darbu un problēmu risināšanu.</w:t>
            </w:r>
          </w:p>
          <w:p w14:paraId="359ACE4C" w14:textId="77777777" w:rsidR="00C25DC2" w:rsidRPr="00775EBF" w:rsidRDefault="00C25DC2" w:rsidP="00C25DC2">
            <w:pPr>
              <w:pStyle w:val="Virsraksts4"/>
              <w:rPr>
                <w:rFonts w:ascii="Times New Roman" w:hAnsi="Times New Roman" w:cs="Times New Roman"/>
              </w:rPr>
            </w:pPr>
            <w:r w:rsidRPr="00775EBF">
              <w:rPr>
                <w:rFonts w:ascii="Times New Roman" w:hAnsi="Times New Roman" w:cs="Times New Roman"/>
              </w:rPr>
              <w:t>3. "Kopienas radītāju" iniciatīva</w:t>
            </w:r>
          </w:p>
          <w:p w14:paraId="0EE90477" w14:textId="77777777" w:rsidR="00C25DC2" w:rsidRPr="00775EBF" w:rsidRDefault="00C25DC2" w:rsidP="00C25DC2">
            <w:pPr>
              <w:pStyle w:val="Paraststmeklis"/>
              <w:rPr>
                <w:lang w:val="lv-LV"/>
              </w:rPr>
            </w:pPr>
            <w:r w:rsidRPr="00775EBF">
              <w:rPr>
                <w:lang w:val="lv-LV"/>
              </w:rPr>
              <w:t xml:space="preserve">Jaunieši komandās izstrādās un īstenos nelielus radošus projektus savā kopienā, apgūstot </w:t>
            </w:r>
            <w:r w:rsidRPr="00775EBF">
              <w:rPr>
                <w:b/>
                <w:bCs/>
                <w:lang w:val="lv-LV"/>
              </w:rPr>
              <w:t>uzņēmējdarbības pamatprincipus</w:t>
            </w:r>
            <w:r w:rsidRPr="00775EBF">
              <w:rPr>
                <w:lang w:val="lv-LV"/>
              </w:rPr>
              <w:t xml:space="preserve"> un veicinot sociālo iekļaušanos.</w:t>
            </w:r>
          </w:p>
          <w:p w14:paraId="1C5D0E51" w14:textId="77777777" w:rsidR="00C25DC2" w:rsidRPr="00775EBF" w:rsidRDefault="00C25DC2" w:rsidP="00C25DC2">
            <w:pPr>
              <w:pStyle w:val="Virsraksts4"/>
              <w:rPr>
                <w:rFonts w:ascii="Times New Roman" w:hAnsi="Times New Roman" w:cs="Times New Roman"/>
              </w:rPr>
            </w:pPr>
            <w:r w:rsidRPr="00775EBF">
              <w:rPr>
                <w:rFonts w:ascii="Times New Roman" w:hAnsi="Times New Roman" w:cs="Times New Roman"/>
              </w:rPr>
              <w:t>4. "Stāstu ceļojumi" un Mākslas terapijas darbnīcas</w:t>
            </w:r>
          </w:p>
          <w:p w14:paraId="38FAFF09" w14:textId="77777777" w:rsidR="00C25DC2" w:rsidRPr="00775EBF" w:rsidRDefault="00C25DC2" w:rsidP="00C25DC2">
            <w:pPr>
              <w:pStyle w:val="Paraststmeklis"/>
              <w:rPr>
                <w:lang w:val="lv-LV"/>
              </w:rPr>
            </w:pPr>
            <w:r w:rsidRPr="00775EBF">
              <w:rPr>
                <w:lang w:val="lv-LV"/>
              </w:rPr>
              <w:t>Lai mazinātu emocionālās barjeras, īpaši Ukrainas jauniešiem, tiks organizētas mākslas terapijas darbnīcas. Tās sniegs drošu vidi emociju izpaušanai un stresa mazināšanai.</w:t>
            </w:r>
          </w:p>
          <w:p w14:paraId="1016CC4C" w14:textId="77777777" w:rsidR="00C25DC2" w:rsidRPr="00775EBF" w:rsidRDefault="00C25DC2" w:rsidP="00C25DC2">
            <w:pPr>
              <w:pStyle w:val="Virsraksts4"/>
              <w:rPr>
                <w:rFonts w:ascii="Times New Roman" w:hAnsi="Times New Roman" w:cs="Times New Roman"/>
              </w:rPr>
            </w:pPr>
            <w:r w:rsidRPr="00775EBF">
              <w:rPr>
                <w:rFonts w:ascii="Times New Roman" w:hAnsi="Times New Roman" w:cs="Times New Roman"/>
              </w:rPr>
              <w:t xml:space="preserve">5. "Restart" nometnes ar </w:t>
            </w:r>
            <w:proofErr w:type="spellStart"/>
            <w:r w:rsidRPr="00775EBF">
              <w:rPr>
                <w:rFonts w:ascii="Times New Roman" w:hAnsi="Times New Roman" w:cs="Times New Roman"/>
              </w:rPr>
              <w:t>forumteātri</w:t>
            </w:r>
            <w:proofErr w:type="spellEnd"/>
          </w:p>
          <w:p w14:paraId="30B1252F" w14:textId="717D890A" w:rsidR="00C25DC2" w:rsidRPr="00775EBF" w:rsidRDefault="00C25DC2" w:rsidP="00C25DC2">
            <w:pPr>
              <w:pStyle w:val="Paraststmeklis"/>
              <w:rPr>
                <w:lang w:val="lv-LV"/>
              </w:rPr>
            </w:pPr>
            <w:r w:rsidRPr="00775EBF">
              <w:rPr>
                <w:lang w:val="lv-LV"/>
              </w:rPr>
              <w:t xml:space="preserve">Nometnes dabas vidē, kurās jaunieši, izmantojot </w:t>
            </w:r>
            <w:proofErr w:type="spellStart"/>
            <w:r w:rsidRPr="00775EBF">
              <w:rPr>
                <w:lang w:val="lv-LV"/>
              </w:rPr>
              <w:t>forumteātri</w:t>
            </w:r>
            <w:proofErr w:type="spellEnd"/>
            <w:r w:rsidRPr="00775EBF">
              <w:rPr>
                <w:lang w:val="lv-LV"/>
              </w:rPr>
              <w:t>, praktizēsies darba interviju un komunikācijas prasmēs. Šī aktivitāte palīdzēs pārvarēt bailes un iegūt pārliecību par sevi.</w:t>
            </w:r>
          </w:p>
          <w:p w14:paraId="77FF49A1" w14:textId="6637A43D" w:rsidR="00C25DC2" w:rsidRPr="00775EBF" w:rsidRDefault="00C25DC2" w:rsidP="00C25DC2">
            <w:pPr>
              <w:pStyle w:val="Paraststmeklis"/>
              <w:rPr>
                <w:i/>
                <w:iCs/>
                <w:color w:val="2F5496" w:themeColor="accent1" w:themeShade="BF"/>
                <w:lang w:val="lv-LV"/>
              </w:rPr>
            </w:pPr>
            <w:r w:rsidRPr="00775EBF">
              <w:rPr>
                <w:i/>
                <w:iCs/>
                <w:color w:val="2F5496" w:themeColor="accent1" w:themeShade="BF"/>
                <w:lang w:val="lv-LV"/>
              </w:rPr>
              <w:t xml:space="preserve">6. </w:t>
            </w:r>
            <w:proofErr w:type="spellStart"/>
            <w:r w:rsidRPr="00775EBF">
              <w:rPr>
                <w:i/>
                <w:iCs/>
                <w:color w:val="2F5496" w:themeColor="accent1" w:themeShade="BF"/>
                <w:lang w:val="lv-LV"/>
              </w:rPr>
              <w:t>Mentorings</w:t>
            </w:r>
            <w:proofErr w:type="spellEnd"/>
            <w:r w:rsidRPr="00775EBF">
              <w:rPr>
                <w:i/>
                <w:iCs/>
                <w:color w:val="2F5496" w:themeColor="accent1" w:themeShade="BF"/>
                <w:lang w:val="lv-LV"/>
              </w:rPr>
              <w:t xml:space="preserve"> jauniešiem</w:t>
            </w:r>
          </w:p>
          <w:p w14:paraId="1E70802F" w14:textId="77777777" w:rsidR="00C25DC2" w:rsidRPr="00775EBF" w:rsidRDefault="00C25DC2" w:rsidP="00821BA8">
            <w:pPr>
              <w:pStyle w:val="Paraststmeklis"/>
              <w:numPr>
                <w:ilvl w:val="0"/>
                <w:numId w:val="8"/>
              </w:numPr>
              <w:rPr>
                <w:lang w:val="lv-LV"/>
              </w:rPr>
            </w:pPr>
            <w:proofErr w:type="spellStart"/>
            <w:r w:rsidRPr="00775EBF">
              <w:rPr>
                <w:lang w:val="lv-LV"/>
              </w:rPr>
              <w:t>Mentoringa</w:t>
            </w:r>
            <w:proofErr w:type="spellEnd"/>
            <w:r w:rsidRPr="00775EBF">
              <w:rPr>
                <w:lang w:val="lv-LV"/>
              </w:rPr>
              <w:t xml:space="preserve"> piesaiste un individuālais plāns: Jaunieši tiks savienoti ar </w:t>
            </w:r>
            <w:proofErr w:type="spellStart"/>
            <w:r w:rsidRPr="00775EBF">
              <w:rPr>
                <w:lang w:val="lv-LV"/>
              </w:rPr>
              <w:t>mentoriem</w:t>
            </w:r>
            <w:proofErr w:type="spellEnd"/>
            <w:r w:rsidRPr="00775EBF">
              <w:rPr>
                <w:lang w:val="lv-LV"/>
              </w:rPr>
              <w:t xml:space="preserve">, kas ir pieredzējuši speciālisti no dažādām nozarēm. Kopā ar </w:t>
            </w:r>
            <w:proofErr w:type="spellStart"/>
            <w:r w:rsidRPr="00775EBF">
              <w:rPr>
                <w:lang w:val="lv-LV"/>
              </w:rPr>
              <w:t>mentoru</w:t>
            </w:r>
            <w:proofErr w:type="spellEnd"/>
            <w:r w:rsidRPr="00775EBF">
              <w:rPr>
                <w:lang w:val="lv-LV"/>
              </w:rPr>
              <w:t xml:space="preserve"> katrs jaunietis izstrādās individuālu attīstības plānu, kas fokusēsies uz reālām darba iespējām.</w:t>
            </w:r>
          </w:p>
          <w:p w14:paraId="5CF25CBF" w14:textId="77777777" w:rsidR="00C25DC2" w:rsidRPr="00775EBF" w:rsidRDefault="00C25DC2" w:rsidP="00821BA8">
            <w:pPr>
              <w:pStyle w:val="Paraststmeklis"/>
              <w:numPr>
                <w:ilvl w:val="0"/>
                <w:numId w:val="8"/>
              </w:numPr>
              <w:rPr>
                <w:lang w:val="lv-LV"/>
              </w:rPr>
            </w:pPr>
            <w:r w:rsidRPr="00775EBF">
              <w:rPr>
                <w:lang w:val="lv-LV"/>
              </w:rPr>
              <w:t>"</w:t>
            </w:r>
            <w:proofErr w:type="spellStart"/>
            <w:r w:rsidRPr="00775EBF">
              <w:rPr>
                <w:lang w:val="lv-LV"/>
              </w:rPr>
              <w:t>Demo</w:t>
            </w:r>
            <w:proofErr w:type="spellEnd"/>
            <w:r w:rsidRPr="00775EBF">
              <w:rPr>
                <w:lang w:val="lv-LV"/>
              </w:rPr>
              <w:t xml:space="preserve"> diena" ar uzņēmējiem: Projekta noslēgumā tiks organizēts "</w:t>
            </w:r>
            <w:proofErr w:type="spellStart"/>
            <w:r w:rsidRPr="00775EBF">
              <w:rPr>
                <w:lang w:val="lv-LV"/>
              </w:rPr>
              <w:t>Demo</w:t>
            </w:r>
            <w:proofErr w:type="spellEnd"/>
            <w:r w:rsidRPr="00775EBF">
              <w:rPr>
                <w:lang w:val="lv-LV"/>
              </w:rPr>
              <w:t xml:space="preserve"> dienas" pasākums, kas ir start-</w:t>
            </w:r>
            <w:proofErr w:type="spellStart"/>
            <w:r w:rsidRPr="00775EBF">
              <w:rPr>
                <w:lang w:val="lv-LV"/>
              </w:rPr>
              <w:t>up</w:t>
            </w:r>
            <w:proofErr w:type="spellEnd"/>
            <w:r w:rsidRPr="00775EBF">
              <w:rPr>
                <w:lang w:val="lv-LV"/>
              </w:rPr>
              <w:t xml:space="preserve"> kultūrai raksturīga prezentācija. Jaunieši prezentēs savus digitālos </w:t>
            </w:r>
            <w:proofErr w:type="spellStart"/>
            <w:r w:rsidRPr="00775EBF">
              <w:rPr>
                <w:lang w:val="lv-LV"/>
              </w:rPr>
              <w:t>portfolio</w:t>
            </w:r>
            <w:proofErr w:type="spellEnd"/>
            <w:r w:rsidRPr="00775EBF">
              <w:rPr>
                <w:lang w:val="lv-LV"/>
              </w:rPr>
              <w:t>, gūto pieredzi vai pat nelielas biznesa idejas reāliem uzņēmējiem un potenciālajiem darba devējiem.</w:t>
            </w:r>
          </w:p>
          <w:p w14:paraId="58DCF329" w14:textId="77777777" w:rsidR="00C25DC2" w:rsidRPr="00775EBF" w:rsidRDefault="00C25DC2" w:rsidP="00821BA8">
            <w:pPr>
              <w:pStyle w:val="Paraststmeklis"/>
              <w:numPr>
                <w:ilvl w:val="0"/>
                <w:numId w:val="8"/>
              </w:numPr>
              <w:rPr>
                <w:lang w:val="lv-LV"/>
              </w:rPr>
            </w:pPr>
            <w:r w:rsidRPr="00775EBF">
              <w:rPr>
                <w:lang w:val="lv-LV"/>
              </w:rPr>
              <w:t xml:space="preserve">"Ātrās darba intervijas": Pasākuma laikā jaunieši varēs piedalīties ātrajās darba intervijās. Tā ir </w:t>
            </w:r>
            <w:r w:rsidRPr="00775EBF">
              <w:rPr>
                <w:lang w:val="lv-LV"/>
              </w:rPr>
              <w:lastRenderedPageBreak/>
              <w:t>lieliska iespēja iegūt praksi, veidot kontaktus un saņemt atgriezenisko saiti no nozares ekspertiem.</w:t>
            </w:r>
          </w:p>
          <w:p w14:paraId="3A9DAB01" w14:textId="100BF276" w:rsidR="00C25DC2" w:rsidRPr="00775EBF" w:rsidRDefault="00C25DC2" w:rsidP="00821BA8">
            <w:pPr>
              <w:pStyle w:val="Virsraksts4"/>
              <w:rPr>
                <w:rFonts w:ascii="Times New Roman" w:hAnsi="Times New Roman" w:cs="Times New Roman"/>
                <w:lang w:eastAsia="en-US"/>
              </w:rPr>
            </w:pPr>
            <w:r w:rsidRPr="00775EBF">
              <w:rPr>
                <w:rFonts w:ascii="Times New Roman" w:hAnsi="Times New Roman" w:cs="Times New Roman"/>
              </w:rPr>
              <w:t xml:space="preserve">2. Aktivitātes, kas vērstas uz </w:t>
            </w:r>
            <w:proofErr w:type="spellStart"/>
            <w:r w:rsidRPr="00775EBF">
              <w:rPr>
                <w:rFonts w:ascii="Times New Roman" w:hAnsi="Times New Roman" w:cs="Times New Roman"/>
              </w:rPr>
              <w:t>partnerorganizāciju</w:t>
            </w:r>
            <w:proofErr w:type="spellEnd"/>
            <w:r w:rsidRPr="00775EBF">
              <w:rPr>
                <w:rFonts w:ascii="Times New Roman" w:hAnsi="Times New Roman" w:cs="Times New Roman"/>
              </w:rPr>
              <w:t xml:space="preserve"> kapacitātes stiprināšanu</w:t>
            </w:r>
          </w:p>
          <w:p w14:paraId="4DB60ECB" w14:textId="3779853B" w:rsidR="00C25DC2" w:rsidRPr="00775EBF" w:rsidRDefault="00C25DC2" w:rsidP="00821BA8">
            <w:pPr>
              <w:pStyle w:val="Paraststmeklis"/>
              <w:rPr>
                <w:lang w:val="lv-LV"/>
              </w:rPr>
            </w:pPr>
            <w:r w:rsidRPr="00775EBF">
              <w:rPr>
                <w:lang w:val="lv-LV"/>
              </w:rPr>
              <w:t xml:space="preserve">"Inovāciju sprinti" ar darba devējiem: Īsi, intensīvi pasākumi, kuros </w:t>
            </w:r>
            <w:proofErr w:type="spellStart"/>
            <w:r w:rsidRPr="00775EBF">
              <w:rPr>
                <w:lang w:val="lv-LV"/>
              </w:rPr>
              <w:t>partnerorganizācijas</w:t>
            </w:r>
            <w:proofErr w:type="spellEnd"/>
            <w:r w:rsidRPr="00775EBF">
              <w:rPr>
                <w:lang w:val="lv-LV"/>
              </w:rPr>
              <w:t xml:space="preserve"> un uzņēmēji kopīgi izstrādās radošus risinājumus, kā integrēt jauniešus darba vidē.</w:t>
            </w:r>
          </w:p>
          <w:p w14:paraId="591352BE" w14:textId="77777777" w:rsidR="00821BA8" w:rsidRPr="00775EBF" w:rsidRDefault="00821BA8" w:rsidP="00821BA8">
            <w:pPr>
              <w:pStyle w:val="Paraststmeklis"/>
              <w:rPr>
                <w:lang w:val="lv-LV"/>
              </w:rPr>
            </w:pPr>
            <w:proofErr w:type="spellStart"/>
            <w:r w:rsidRPr="00775EBF">
              <w:rPr>
                <w:lang w:val="lv-LV"/>
              </w:rPr>
              <w:t>Mentoru</w:t>
            </w:r>
            <w:proofErr w:type="spellEnd"/>
            <w:r w:rsidRPr="00775EBF">
              <w:rPr>
                <w:lang w:val="lv-LV"/>
              </w:rPr>
              <w:t xml:space="preserve"> apmācību programma: Projekta sākumā tiks organizēta speciāla apmācību programma </w:t>
            </w:r>
            <w:proofErr w:type="spellStart"/>
            <w:r w:rsidRPr="00775EBF">
              <w:rPr>
                <w:lang w:val="lv-LV"/>
              </w:rPr>
              <w:t>mentoriem</w:t>
            </w:r>
            <w:proofErr w:type="spellEnd"/>
            <w:r w:rsidRPr="00775EBF">
              <w:rPr>
                <w:lang w:val="lv-LV"/>
              </w:rPr>
              <w:t xml:space="preserve"> no abiem reģioniem. Tajā tiks iekļautas šādas tēmas:</w:t>
            </w:r>
          </w:p>
          <w:p w14:paraId="555A39DC" w14:textId="77777777" w:rsidR="00821BA8" w:rsidRPr="00775EBF" w:rsidRDefault="00821BA8" w:rsidP="00821BA8">
            <w:pPr>
              <w:pStyle w:val="Paraststmeklis"/>
              <w:numPr>
                <w:ilvl w:val="0"/>
                <w:numId w:val="8"/>
              </w:numPr>
              <w:rPr>
                <w:lang w:val="lv-LV"/>
              </w:rPr>
            </w:pPr>
            <w:r w:rsidRPr="00775EBF">
              <w:rPr>
                <w:lang w:val="lv-LV"/>
              </w:rPr>
              <w:t>NEET jauniešu specifika: Izpratne par NEET jauniešu izaicinājumiem un motivācijas trūkuma iemesliem.</w:t>
            </w:r>
          </w:p>
          <w:p w14:paraId="016A89E9" w14:textId="77777777" w:rsidR="00821BA8" w:rsidRPr="00775EBF" w:rsidRDefault="00821BA8" w:rsidP="00821BA8">
            <w:pPr>
              <w:pStyle w:val="Paraststmeklis"/>
              <w:numPr>
                <w:ilvl w:val="0"/>
                <w:numId w:val="8"/>
              </w:numPr>
              <w:rPr>
                <w:lang w:val="lv-LV"/>
              </w:rPr>
            </w:pPr>
            <w:r w:rsidRPr="00775EBF">
              <w:rPr>
                <w:lang w:val="lv-LV"/>
              </w:rPr>
              <w:t xml:space="preserve">Psiholoģiskais atbalsts: </w:t>
            </w:r>
            <w:proofErr w:type="spellStart"/>
            <w:r w:rsidRPr="00775EBF">
              <w:rPr>
                <w:lang w:val="lv-LV"/>
              </w:rPr>
              <w:t>Pamatprasmes</w:t>
            </w:r>
            <w:proofErr w:type="spellEnd"/>
            <w:r w:rsidRPr="00775EBF">
              <w:rPr>
                <w:lang w:val="lv-LV"/>
              </w:rPr>
              <w:t>, kā sniegt atbalstu jauniešiem ar emocionāliem un psiholoģiskiem izaicinājumiem.</w:t>
            </w:r>
          </w:p>
          <w:p w14:paraId="6F397314" w14:textId="77777777" w:rsidR="00821BA8" w:rsidRPr="00775EBF" w:rsidRDefault="00821BA8" w:rsidP="00821BA8">
            <w:pPr>
              <w:pStyle w:val="Paraststmeklis"/>
              <w:numPr>
                <w:ilvl w:val="0"/>
                <w:numId w:val="8"/>
              </w:numPr>
              <w:rPr>
                <w:lang w:val="lv-LV"/>
              </w:rPr>
            </w:pPr>
            <w:r w:rsidRPr="00775EBF">
              <w:rPr>
                <w:lang w:val="lv-LV"/>
              </w:rPr>
              <w:t xml:space="preserve">Radošās metodes: Kā integrēt radošās metodes (piemēram, mākslas terapiju un </w:t>
            </w:r>
            <w:proofErr w:type="spellStart"/>
            <w:r w:rsidRPr="00775EBF">
              <w:rPr>
                <w:lang w:val="lv-LV"/>
              </w:rPr>
              <w:t>forumteātri</w:t>
            </w:r>
            <w:proofErr w:type="spellEnd"/>
            <w:r w:rsidRPr="00775EBF">
              <w:rPr>
                <w:lang w:val="lv-LV"/>
              </w:rPr>
              <w:t xml:space="preserve">) </w:t>
            </w:r>
            <w:proofErr w:type="spellStart"/>
            <w:r w:rsidRPr="00775EBF">
              <w:rPr>
                <w:lang w:val="lv-LV"/>
              </w:rPr>
              <w:t>mentoringa</w:t>
            </w:r>
            <w:proofErr w:type="spellEnd"/>
            <w:r w:rsidRPr="00775EBF">
              <w:rPr>
                <w:lang w:val="lv-LV"/>
              </w:rPr>
              <w:t xml:space="preserve"> procesā.</w:t>
            </w:r>
          </w:p>
          <w:p w14:paraId="0A00B264" w14:textId="77777777" w:rsidR="00821BA8" w:rsidRPr="00775EBF" w:rsidRDefault="00821BA8" w:rsidP="00821BA8">
            <w:pPr>
              <w:pStyle w:val="Paraststmeklis"/>
              <w:numPr>
                <w:ilvl w:val="0"/>
                <w:numId w:val="8"/>
              </w:numPr>
              <w:rPr>
                <w:lang w:val="lv-LV"/>
              </w:rPr>
            </w:pPr>
            <w:r w:rsidRPr="00775EBF">
              <w:rPr>
                <w:lang w:val="lv-LV"/>
              </w:rPr>
              <w:t xml:space="preserve">Komunikācijas un </w:t>
            </w:r>
            <w:proofErr w:type="spellStart"/>
            <w:r w:rsidRPr="00775EBF">
              <w:rPr>
                <w:lang w:val="lv-LV"/>
              </w:rPr>
              <w:t>koučinga</w:t>
            </w:r>
            <w:proofErr w:type="spellEnd"/>
            <w:r w:rsidRPr="00775EBF">
              <w:rPr>
                <w:lang w:val="lv-LV"/>
              </w:rPr>
              <w:t xml:space="preserve"> prasmes: Kā efektīvi vadīt sarunas un palīdzēt jauniešiem atklāt savu potenciālu.</w:t>
            </w:r>
          </w:p>
          <w:p w14:paraId="4329851E" w14:textId="63A5D703" w:rsidR="009205E4" w:rsidRPr="00775EBF" w:rsidRDefault="00821BA8" w:rsidP="00821BA8">
            <w:pPr>
              <w:pStyle w:val="Paraststmeklis"/>
              <w:rPr>
                <w:lang w:val="lv-LV"/>
              </w:rPr>
            </w:pPr>
            <w:r w:rsidRPr="00775EBF">
              <w:rPr>
                <w:lang w:val="lv-LV"/>
              </w:rPr>
              <w:t>Pētījumu un ietekmes analīzes grupa: Darba grupa veiks projekta rezultātu analīzi, lai izstrādātu uz datiem balstītu labās prakses rokasgrāmatu (metožu katalogs), kas būs noderīga arī pēc projekta beigām.</w:t>
            </w:r>
          </w:p>
          <w:p w14:paraId="2AE4A70B" w14:textId="77777777" w:rsidR="009205E4" w:rsidRPr="00775EBF" w:rsidRDefault="009205E4" w:rsidP="002C49EF">
            <w:pPr>
              <w:pStyle w:val="Bezatstarpm"/>
              <w:jc w:val="both"/>
              <w:rPr>
                <w:bCs/>
              </w:rPr>
            </w:pPr>
          </w:p>
        </w:tc>
      </w:tr>
      <w:tr w:rsidR="009205E4" w:rsidRPr="00284E49" w14:paraId="618ACC22" w14:textId="77777777" w:rsidTr="00C7365C">
        <w:trPr>
          <w:trHeight w:val="977"/>
        </w:trPr>
        <w:tc>
          <w:tcPr>
            <w:tcW w:w="516" w:type="dxa"/>
            <w:tcBorders>
              <w:top w:val="nil"/>
              <w:left w:val="single" w:sz="8" w:space="0" w:color="auto"/>
              <w:bottom w:val="single" w:sz="8" w:space="0" w:color="auto"/>
              <w:right w:val="single" w:sz="4" w:space="0" w:color="auto"/>
            </w:tcBorders>
            <w:hideMark/>
          </w:tcPr>
          <w:p w14:paraId="27CA7735" w14:textId="77777777" w:rsidR="009205E4" w:rsidRPr="00284E49" w:rsidRDefault="009205E4" w:rsidP="002C49EF">
            <w:r w:rsidRPr="00284E49">
              <w:lastRenderedPageBreak/>
              <w:t xml:space="preserve">6. </w:t>
            </w:r>
          </w:p>
        </w:tc>
        <w:tc>
          <w:tcPr>
            <w:tcW w:w="3171" w:type="dxa"/>
            <w:tcBorders>
              <w:top w:val="nil"/>
              <w:left w:val="nil"/>
              <w:bottom w:val="single" w:sz="8" w:space="0" w:color="auto"/>
              <w:right w:val="single" w:sz="4" w:space="0" w:color="auto"/>
            </w:tcBorders>
          </w:tcPr>
          <w:p w14:paraId="1D4BECFF" w14:textId="77777777" w:rsidR="009205E4" w:rsidRPr="00284E49" w:rsidRDefault="009205E4" w:rsidP="002C49EF">
            <w:pPr>
              <w:rPr>
                <w:bCs/>
              </w:rPr>
            </w:pPr>
            <w:r w:rsidRPr="00284E49">
              <w:t xml:space="preserve">Īss projekta ietvaros </w:t>
            </w:r>
            <w:r w:rsidRPr="00284E49">
              <w:rPr>
                <w:b/>
                <w:bCs/>
              </w:rPr>
              <w:t xml:space="preserve">sasniedzamo rezultātu apraksts </w:t>
            </w:r>
            <w:r w:rsidRPr="00284E49">
              <w:rPr>
                <w:bCs/>
              </w:rPr>
              <w:t>(iekārtas, būves, infrastruktūra, rokasgrāmatas, filmas, pētniecības darbi u.tml.)</w:t>
            </w:r>
          </w:p>
          <w:p w14:paraId="04CFA3B8" w14:textId="77777777" w:rsidR="009205E4" w:rsidRPr="00284E49" w:rsidRDefault="009205E4" w:rsidP="002C49EF"/>
        </w:tc>
        <w:tc>
          <w:tcPr>
            <w:tcW w:w="5953" w:type="dxa"/>
            <w:tcBorders>
              <w:top w:val="nil"/>
              <w:left w:val="nil"/>
              <w:bottom w:val="single" w:sz="8" w:space="0" w:color="auto"/>
              <w:right w:val="single" w:sz="8" w:space="0" w:color="auto"/>
            </w:tcBorders>
          </w:tcPr>
          <w:p w14:paraId="29AA19DA" w14:textId="186557D6" w:rsidR="00821BA8" w:rsidRPr="00775EBF" w:rsidRDefault="00821BA8" w:rsidP="00775EBF">
            <w:pPr>
              <w:pStyle w:val="Paraststmeklis"/>
              <w:rPr>
                <w:lang w:val="lv-LV"/>
              </w:rPr>
            </w:pPr>
            <w:r w:rsidRPr="00775EBF">
              <w:rPr>
                <w:lang w:val="lv-LV"/>
              </w:rPr>
              <w:t>Apmācīti jaunieši: Konkrēts skaits jauniešu (piemēram, 50 no katra reģiona) būs pabeiguši "Talantu laboratorijas", "Karjeras piedzīvojumu" galda spēli un "Restart" nometnes, iegūstot jaunas prasmes un zināšanas.</w:t>
            </w:r>
          </w:p>
          <w:p w14:paraId="7DAE92D6" w14:textId="77777777" w:rsidR="00821BA8" w:rsidRPr="00775EBF" w:rsidRDefault="00821BA8" w:rsidP="00821BA8">
            <w:pPr>
              <w:pStyle w:val="Paraststmeklis"/>
              <w:numPr>
                <w:ilvl w:val="1"/>
                <w:numId w:val="12"/>
              </w:numPr>
              <w:rPr>
                <w:lang w:val="lv-LV"/>
              </w:rPr>
            </w:pPr>
            <w:r w:rsidRPr="00775EBF">
              <w:rPr>
                <w:lang w:val="lv-LV"/>
              </w:rPr>
              <w:t xml:space="preserve">Izveidoti digitālie </w:t>
            </w:r>
            <w:proofErr w:type="spellStart"/>
            <w:r w:rsidRPr="00775EBF">
              <w:rPr>
                <w:lang w:val="lv-LV"/>
              </w:rPr>
              <w:t>portfolio</w:t>
            </w:r>
            <w:proofErr w:type="spellEnd"/>
            <w:r w:rsidRPr="00775EBF">
              <w:rPr>
                <w:lang w:val="lv-LV"/>
              </w:rPr>
              <w:t xml:space="preserve">: Visi jaunieši, kas piedalās projektā, būs izveidojuši savu digitālo </w:t>
            </w:r>
            <w:proofErr w:type="spellStart"/>
            <w:r w:rsidRPr="00775EBF">
              <w:rPr>
                <w:lang w:val="lv-LV"/>
              </w:rPr>
              <w:t>portfolio</w:t>
            </w:r>
            <w:proofErr w:type="spellEnd"/>
            <w:r w:rsidRPr="00775EBF">
              <w:rPr>
                <w:lang w:val="lv-LV"/>
              </w:rPr>
              <w:t>, ko varēs izmantot, lai prezentētu savas prasmes darba devējiem.</w:t>
            </w:r>
          </w:p>
          <w:p w14:paraId="2D44295C" w14:textId="15DCD052" w:rsidR="00821BA8" w:rsidRPr="00775EBF" w:rsidRDefault="00821BA8" w:rsidP="00821BA8">
            <w:pPr>
              <w:pStyle w:val="Paraststmeklis"/>
              <w:numPr>
                <w:ilvl w:val="1"/>
                <w:numId w:val="12"/>
              </w:numPr>
              <w:rPr>
                <w:lang w:val="lv-LV"/>
              </w:rPr>
            </w:pPr>
            <w:r w:rsidRPr="00775EBF">
              <w:rPr>
                <w:lang w:val="lv-LV"/>
              </w:rPr>
              <w:t>Integrēti jaunieši: Konkrēts jauniešu skaits (piemēram, 50% no mērķa grupas) būs uzsākuši darbu vai atgriezušies izglītības sistēmā.</w:t>
            </w:r>
          </w:p>
          <w:p w14:paraId="0783ACDA" w14:textId="339D6EE5" w:rsidR="009205E4" w:rsidRPr="00775EBF" w:rsidRDefault="00821BA8" w:rsidP="00DB4292">
            <w:pPr>
              <w:pStyle w:val="Paraststmeklis"/>
              <w:numPr>
                <w:ilvl w:val="1"/>
                <w:numId w:val="12"/>
              </w:numPr>
              <w:rPr>
                <w:lang w:val="lv-LV"/>
              </w:rPr>
            </w:pPr>
            <w:r w:rsidRPr="00775EBF">
              <w:rPr>
                <w:lang w:val="lv-LV"/>
              </w:rPr>
              <w:t xml:space="preserve">Uzlabota pašapziņa: Jauniešu pašapziņa un motivācija būs palielinājusies, ko mērīs ar aptauju vai </w:t>
            </w:r>
            <w:proofErr w:type="spellStart"/>
            <w:r w:rsidRPr="00775EBF">
              <w:rPr>
                <w:lang w:val="lv-LV"/>
              </w:rPr>
              <w:t>fokusgrupu</w:t>
            </w:r>
            <w:proofErr w:type="spellEnd"/>
            <w:r w:rsidRPr="00775EBF">
              <w:rPr>
                <w:lang w:val="lv-LV"/>
              </w:rPr>
              <w:t xml:space="preserve"> palīdzību</w:t>
            </w:r>
          </w:p>
        </w:tc>
      </w:tr>
      <w:tr w:rsidR="009205E4" w:rsidRPr="00284E49" w14:paraId="12E80265" w14:textId="77777777" w:rsidTr="00C7365C">
        <w:trPr>
          <w:trHeight w:val="977"/>
        </w:trPr>
        <w:tc>
          <w:tcPr>
            <w:tcW w:w="516" w:type="dxa"/>
            <w:tcBorders>
              <w:top w:val="nil"/>
              <w:left w:val="single" w:sz="8" w:space="0" w:color="auto"/>
              <w:bottom w:val="single" w:sz="8" w:space="0" w:color="auto"/>
              <w:right w:val="single" w:sz="4" w:space="0" w:color="auto"/>
            </w:tcBorders>
          </w:tcPr>
          <w:p w14:paraId="24C6233F" w14:textId="77777777" w:rsidR="009205E4" w:rsidRPr="00284E49" w:rsidRDefault="009205E4" w:rsidP="002C49EF">
            <w:r w:rsidRPr="00284E49">
              <w:t>7.</w:t>
            </w:r>
          </w:p>
        </w:tc>
        <w:tc>
          <w:tcPr>
            <w:tcW w:w="3171" w:type="dxa"/>
            <w:tcBorders>
              <w:top w:val="nil"/>
              <w:left w:val="nil"/>
              <w:bottom w:val="single" w:sz="8" w:space="0" w:color="auto"/>
              <w:right w:val="single" w:sz="4" w:space="0" w:color="auto"/>
            </w:tcBorders>
          </w:tcPr>
          <w:p w14:paraId="6042FB21" w14:textId="77777777" w:rsidR="009205E4" w:rsidRPr="00284E49" w:rsidRDefault="009205E4" w:rsidP="002C49EF">
            <w:r w:rsidRPr="00284E49">
              <w:rPr>
                <w:b/>
              </w:rPr>
              <w:t>Projekta sasaiste ar nozares politikas plānošanas dokumentiem un nozares politikas ieviešanu</w:t>
            </w:r>
            <w:r w:rsidRPr="00284E49">
              <w:t xml:space="preserve"> (atsauces uz politikas plānošanas dokumentiem, normatīvajiem aktiem, vadlīnijām un tml.), </w:t>
            </w:r>
          </w:p>
        </w:tc>
        <w:tc>
          <w:tcPr>
            <w:tcW w:w="5953" w:type="dxa"/>
            <w:tcBorders>
              <w:top w:val="nil"/>
              <w:left w:val="nil"/>
              <w:bottom w:val="single" w:sz="8" w:space="0" w:color="auto"/>
              <w:right w:val="single" w:sz="8" w:space="0" w:color="auto"/>
            </w:tcBorders>
          </w:tcPr>
          <w:p w14:paraId="6A64F895" w14:textId="77777777" w:rsidR="009205E4" w:rsidRDefault="009205E4" w:rsidP="00D119B6">
            <w:pPr>
              <w:rPr>
                <w:rFonts w:eastAsiaTheme="minorHAnsi"/>
                <w:lang w:eastAsia="en-US"/>
              </w:rPr>
            </w:pPr>
            <w:r w:rsidRPr="00284E49">
              <w:rPr>
                <w:rFonts w:eastAsiaTheme="minorHAnsi"/>
                <w:lang w:eastAsia="en-US"/>
              </w:rPr>
              <w:t xml:space="preserve">Zemgales plānošanas reģiona Attīstības programmas 2021-2027. gadam </w:t>
            </w:r>
          </w:p>
          <w:p w14:paraId="34FABD51" w14:textId="77777777" w:rsidR="00FD0DB5" w:rsidRDefault="00FD0DB5" w:rsidP="00D119B6">
            <w:bookmarkStart w:id="1" w:name="_Hlk206496837"/>
            <w:r>
              <w:t>R. 1.2.6 Kvalitatīvas karjeras izglītības nodrošināšana</w:t>
            </w:r>
          </w:p>
          <w:p w14:paraId="6648D388" w14:textId="52964B38" w:rsidR="00FD0DB5" w:rsidRPr="00284E49" w:rsidRDefault="00FD0DB5" w:rsidP="00D119B6">
            <w:pPr>
              <w:rPr>
                <w:rFonts w:eastAsiaTheme="minorHAnsi"/>
                <w:lang w:eastAsia="en-US"/>
              </w:rPr>
            </w:pPr>
            <w:r>
              <w:t>R.1.3.2. Stiprināt speciālistu kapacitāti un sadarbību</w:t>
            </w:r>
            <w:bookmarkEnd w:id="1"/>
          </w:p>
        </w:tc>
      </w:tr>
      <w:tr w:rsidR="009205E4" w:rsidRPr="00284E49" w14:paraId="1DFABD56" w14:textId="77777777" w:rsidTr="00C7365C">
        <w:trPr>
          <w:trHeight w:val="977"/>
        </w:trPr>
        <w:tc>
          <w:tcPr>
            <w:tcW w:w="516" w:type="dxa"/>
            <w:tcBorders>
              <w:top w:val="nil"/>
              <w:left w:val="single" w:sz="8" w:space="0" w:color="auto"/>
              <w:bottom w:val="single" w:sz="8" w:space="0" w:color="auto"/>
              <w:right w:val="single" w:sz="4" w:space="0" w:color="auto"/>
            </w:tcBorders>
            <w:hideMark/>
          </w:tcPr>
          <w:p w14:paraId="69B08513" w14:textId="77777777" w:rsidR="009205E4" w:rsidRPr="00284E49" w:rsidRDefault="009205E4" w:rsidP="002C49EF">
            <w:r w:rsidRPr="00284E49">
              <w:lastRenderedPageBreak/>
              <w:t>8.</w:t>
            </w:r>
          </w:p>
        </w:tc>
        <w:tc>
          <w:tcPr>
            <w:tcW w:w="3171" w:type="dxa"/>
            <w:tcBorders>
              <w:top w:val="nil"/>
              <w:left w:val="nil"/>
              <w:bottom w:val="single" w:sz="8" w:space="0" w:color="auto"/>
              <w:right w:val="single" w:sz="4" w:space="0" w:color="auto"/>
            </w:tcBorders>
          </w:tcPr>
          <w:p w14:paraId="33EE266F" w14:textId="77777777" w:rsidR="009205E4" w:rsidRPr="00284E49" w:rsidRDefault="009205E4" w:rsidP="002C49EF">
            <w:r w:rsidRPr="00284E49">
              <w:rPr>
                <w:b/>
              </w:rPr>
              <w:t>Projekta idejas iesniedzēja</w:t>
            </w:r>
            <w:r w:rsidRPr="00284E49">
              <w:t xml:space="preserve"> </w:t>
            </w:r>
            <w:r w:rsidRPr="00284E49">
              <w:rPr>
                <w:b/>
              </w:rPr>
              <w:t>ieguvums</w:t>
            </w:r>
            <w:r w:rsidRPr="00284E49">
              <w:t xml:space="preserve"> </w:t>
            </w:r>
            <w:r w:rsidRPr="00284E49">
              <w:rPr>
                <w:b/>
              </w:rPr>
              <w:t>īstenojot projektu</w:t>
            </w:r>
            <w:r w:rsidRPr="00284E49">
              <w:t xml:space="preserve"> (pamatojumu plānotajām darbībām, iegūstamās zināšanas, tehniskais nodrošinājums u.tml.)</w:t>
            </w:r>
          </w:p>
          <w:p w14:paraId="524545D1" w14:textId="77777777" w:rsidR="009205E4" w:rsidRPr="00284E49" w:rsidRDefault="009205E4" w:rsidP="002C49EF"/>
        </w:tc>
        <w:tc>
          <w:tcPr>
            <w:tcW w:w="5953" w:type="dxa"/>
            <w:tcBorders>
              <w:top w:val="nil"/>
              <w:left w:val="nil"/>
              <w:bottom w:val="single" w:sz="8" w:space="0" w:color="auto"/>
              <w:right w:val="single" w:sz="8" w:space="0" w:color="auto"/>
            </w:tcBorders>
          </w:tcPr>
          <w:p w14:paraId="4B9E0185" w14:textId="77777777" w:rsidR="00DB4292" w:rsidRPr="00DB4292" w:rsidRDefault="00DB4292" w:rsidP="00DB4292">
            <w:pPr>
              <w:pStyle w:val="Paraststmeklis"/>
              <w:rPr>
                <w:lang w:val="lv-LV"/>
              </w:rPr>
            </w:pPr>
            <w:r w:rsidRPr="00DB4292">
              <w:rPr>
                <w:lang w:val="lv-LV"/>
              </w:rPr>
              <w:t xml:space="preserve">Stiprināta </w:t>
            </w:r>
            <w:proofErr w:type="spellStart"/>
            <w:r w:rsidRPr="00DB4292">
              <w:rPr>
                <w:lang w:val="lv-LV"/>
              </w:rPr>
              <w:t>partnerorganizāciju</w:t>
            </w:r>
            <w:proofErr w:type="spellEnd"/>
            <w:r w:rsidRPr="00DB4292">
              <w:rPr>
                <w:lang w:val="lv-LV"/>
              </w:rPr>
              <w:t xml:space="preserve"> kapacitāte: Organizācijas, kas strādā ar NEET jauniešiem, būs apguvušas jaunas metodes un rīkus. Iegūtie materiāli, piemēram, "Karjeras piedzīvojumu" galda spēle un "Labās prakses rokasgrāmata", tiks izmantoti arī pēc projekta beigām.</w:t>
            </w:r>
          </w:p>
          <w:p w14:paraId="07AD392A" w14:textId="77777777" w:rsidR="00DB4292" w:rsidRPr="00DB4292" w:rsidRDefault="00DB4292" w:rsidP="00DB4292">
            <w:pPr>
              <w:pStyle w:val="Paraststmeklis"/>
              <w:rPr>
                <w:lang w:val="lv-LV"/>
              </w:rPr>
            </w:pPr>
            <w:r w:rsidRPr="00DB4292">
              <w:rPr>
                <w:lang w:val="lv-LV"/>
              </w:rPr>
              <w:t>Izveidots starptautisks zināšanu tīkls: Projekta ietvaros izveidotais starptautiskais tīkls starp Zemgales un Upsalas reģioniem kalpos kā pamats turpmākai sadarbībai un pieredzes apmaiņai.</w:t>
            </w:r>
          </w:p>
          <w:p w14:paraId="1B76BEAD" w14:textId="77777777" w:rsidR="00DB4292" w:rsidRPr="00DB4292" w:rsidRDefault="00DB4292" w:rsidP="00DB4292">
            <w:pPr>
              <w:pStyle w:val="Paraststmeklis"/>
              <w:rPr>
                <w:lang w:val="lv-LV"/>
              </w:rPr>
            </w:pPr>
            <w:r w:rsidRPr="00DB4292">
              <w:rPr>
                <w:lang w:val="lv-LV"/>
              </w:rPr>
              <w:t>Uzlabota sabiedrības izpratne: Projekts veicinās sabiedrības izpratni par NEET jauniešu problēmām un vajadzībām, kā arī par Ukrainas bēgļu integrāciju darba tirgū.</w:t>
            </w:r>
          </w:p>
          <w:p w14:paraId="4694466E" w14:textId="0A7475EF" w:rsidR="009205E4" w:rsidRPr="00DB4292" w:rsidRDefault="00DB4292" w:rsidP="00DB4292">
            <w:pPr>
              <w:pStyle w:val="Paraststmeklis"/>
              <w:rPr>
                <w:lang w:val="lv-LV"/>
              </w:rPr>
            </w:pPr>
            <w:r w:rsidRPr="00DB4292">
              <w:rPr>
                <w:lang w:val="lv-LV"/>
              </w:rPr>
              <w:t>Izstrādāta metodoloģija: Projekta ietvaros izstrādātā metodoloģija, kas apvieno mākslas terapiju un start-</w:t>
            </w:r>
            <w:proofErr w:type="spellStart"/>
            <w:r w:rsidRPr="00DB4292">
              <w:rPr>
                <w:lang w:val="lv-LV"/>
              </w:rPr>
              <w:t>up</w:t>
            </w:r>
            <w:proofErr w:type="spellEnd"/>
            <w:r w:rsidRPr="00DB4292">
              <w:rPr>
                <w:lang w:val="lv-LV"/>
              </w:rPr>
              <w:t xml:space="preserve"> kultūru, varēs tikt pielāgota un izmantota darbā ar citām </w:t>
            </w:r>
            <w:proofErr w:type="spellStart"/>
            <w:r w:rsidRPr="00DB4292">
              <w:rPr>
                <w:lang w:val="lv-LV"/>
              </w:rPr>
              <w:t>mērķgrupām</w:t>
            </w:r>
            <w:proofErr w:type="spellEnd"/>
            <w:r w:rsidRPr="00DB4292">
              <w:rPr>
                <w:lang w:val="lv-LV"/>
              </w:rPr>
              <w:t>.</w:t>
            </w:r>
          </w:p>
          <w:p w14:paraId="15594D64" w14:textId="3C454185" w:rsidR="009205E4" w:rsidRPr="00284E49" w:rsidRDefault="009205E4" w:rsidP="002C49EF">
            <w:pPr>
              <w:pStyle w:val="HTMLiepriekformattais"/>
              <w:shd w:val="clear" w:color="auto" w:fill="FFFFFF"/>
              <w:jc w:val="both"/>
              <w:rPr>
                <w:rFonts w:ascii="Times New Roman" w:hAnsi="Times New Roman" w:cs="Times New Roman"/>
                <w:b/>
                <w:sz w:val="24"/>
                <w:szCs w:val="24"/>
              </w:rPr>
            </w:pPr>
          </w:p>
        </w:tc>
      </w:tr>
      <w:tr w:rsidR="009205E4" w:rsidRPr="00284E49" w14:paraId="363D6277" w14:textId="77777777" w:rsidTr="00C7365C">
        <w:trPr>
          <w:trHeight w:val="716"/>
        </w:trPr>
        <w:tc>
          <w:tcPr>
            <w:tcW w:w="516" w:type="dxa"/>
            <w:tcBorders>
              <w:top w:val="nil"/>
              <w:left w:val="single" w:sz="8" w:space="0" w:color="auto"/>
              <w:bottom w:val="single" w:sz="8" w:space="0" w:color="auto"/>
              <w:right w:val="single" w:sz="4" w:space="0" w:color="auto"/>
            </w:tcBorders>
            <w:hideMark/>
          </w:tcPr>
          <w:p w14:paraId="373E5513" w14:textId="77777777" w:rsidR="009205E4" w:rsidRPr="00284E49" w:rsidRDefault="009205E4" w:rsidP="002C49EF">
            <w:r w:rsidRPr="00284E49">
              <w:t>9.</w:t>
            </w:r>
          </w:p>
        </w:tc>
        <w:tc>
          <w:tcPr>
            <w:tcW w:w="3171" w:type="dxa"/>
            <w:tcBorders>
              <w:top w:val="nil"/>
              <w:left w:val="nil"/>
              <w:bottom w:val="single" w:sz="8" w:space="0" w:color="auto"/>
              <w:right w:val="single" w:sz="4" w:space="0" w:color="auto"/>
            </w:tcBorders>
          </w:tcPr>
          <w:p w14:paraId="6D5282A8" w14:textId="77777777" w:rsidR="009205E4" w:rsidRPr="00284E49" w:rsidRDefault="009205E4" w:rsidP="002C49EF">
            <w:r w:rsidRPr="00284E49">
              <w:rPr>
                <w:b/>
              </w:rPr>
              <w:t xml:space="preserve">Projekta idejas sasaiste (t.sk., demarkācija, papildinātība) ar citiem uzsāktajiem vai īstenotiem projektiem attiecīgajā sfērā </w:t>
            </w:r>
            <w:r w:rsidRPr="00284E49">
              <w:t>(īss apraksts par to, kā piedāvātais projekts atšķiras vai papildina citus uzsāktos/īstenotos projektus)</w:t>
            </w:r>
          </w:p>
        </w:tc>
        <w:tc>
          <w:tcPr>
            <w:tcW w:w="5953" w:type="dxa"/>
            <w:tcBorders>
              <w:top w:val="nil"/>
              <w:left w:val="nil"/>
              <w:bottom w:val="single" w:sz="8" w:space="0" w:color="auto"/>
              <w:right w:val="single" w:sz="8" w:space="0" w:color="auto"/>
            </w:tcBorders>
          </w:tcPr>
          <w:p w14:paraId="116B4F2F" w14:textId="77777777" w:rsidR="009205E4" w:rsidRPr="00284E49" w:rsidRDefault="009205E4" w:rsidP="002C49EF">
            <w:pPr>
              <w:jc w:val="both"/>
            </w:pPr>
            <w:r w:rsidRPr="00284E49">
              <w:t xml:space="preserve">Projekts ir balstīts uz rezultātiem un atziņām, kas gūtas </w:t>
            </w:r>
          </w:p>
          <w:p w14:paraId="5CC98421" w14:textId="369DAA62" w:rsidR="009205E4" w:rsidRPr="00284E49" w:rsidRDefault="009205E4" w:rsidP="002C49EF">
            <w:pPr>
              <w:pStyle w:val="Virsraksts1"/>
              <w:shd w:val="clear" w:color="auto" w:fill="F7F7F7"/>
              <w:spacing w:before="0"/>
              <w:rPr>
                <w:rFonts w:ascii="Times New Roman" w:hAnsi="Times New Roman" w:cs="Times New Roman"/>
                <w:color w:val="auto"/>
                <w:sz w:val="24"/>
                <w:szCs w:val="24"/>
                <w:lang w:eastAsia="en-US"/>
              </w:rPr>
            </w:pPr>
            <w:r w:rsidRPr="00284E49">
              <w:rPr>
                <w:rFonts w:ascii="Times New Roman" w:hAnsi="Times New Roman" w:cs="Times New Roman"/>
                <w:color w:val="auto"/>
                <w:sz w:val="24"/>
                <w:szCs w:val="24"/>
              </w:rPr>
              <w:t xml:space="preserve">Zemgales plānošanas reģiona projekta </w:t>
            </w:r>
            <w:r>
              <w:rPr>
                <w:rFonts w:ascii="Times New Roman" w:hAnsi="Times New Roman" w:cs="Times New Roman"/>
                <w:color w:val="auto"/>
                <w:sz w:val="24"/>
                <w:szCs w:val="24"/>
              </w:rPr>
              <w:t>“</w:t>
            </w:r>
            <w:proofErr w:type="spellStart"/>
            <w:r>
              <w:rPr>
                <w:rFonts w:ascii="Times New Roman" w:hAnsi="Times New Roman" w:cs="Times New Roman"/>
                <w:color w:val="auto"/>
                <w:sz w:val="24"/>
                <w:szCs w:val="24"/>
              </w:rPr>
              <w:t>CeMeWe</w:t>
            </w:r>
            <w:proofErr w:type="spellEnd"/>
            <w:r>
              <w:rPr>
                <w:rFonts w:ascii="Times New Roman" w:hAnsi="Times New Roman" w:cs="Times New Roman"/>
                <w:color w:val="auto"/>
                <w:sz w:val="24"/>
                <w:szCs w:val="24"/>
              </w:rPr>
              <w:t xml:space="preserve">” </w:t>
            </w:r>
            <w:r w:rsidR="00D119B6">
              <w:rPr>
                <w:rFonts w:ascii="Times New Roman" w:hAnsi="Times New Roman" w:cs="Times New Roman"/>
                <w:color w:val="auto"/>
                <w:sz w:val="24"/>
                <w:szCs w:val="24"/>
              </w:rPr>
              <w:t>(</w:t>
            </w:r>
            <w:proofErr w:type="spellStart"/>
            <w:r w:rsidR="00D119B6">
              <w:rPr>
                <w:rFonts w:ascii="Times New Roman" w:hAnsi="Times New Roman" w:cs="Times New Roman"/>
                <w:color w:val="auto"/>
                <w:sz w:val="24"/>
                <w:szCs w:val="24"/>
              </w:rPr>
              <w:t>Centr;alBaltijas</w:t>
            </w:r>
            <w:proofErr w:type="spellEnd"/>
            <w:r w:rsidR="00D119B6">
              <w:rPr>
                <w:rFonts w:ascii="Times New Roman" w:hAnsi="Times New Roman" w:cs="Times New Roman"/>
                <w:color w:val="auto"/>
                <w:sz w:val="24"/>
                <w:szCs w:val="24"/>
              </w:rPr>
              <w:t xml:space="preserve"> programma) </w:t>
            </w:r>
            <w:r>
              <w:rPr>
                <w:rFonts w:ascii="Times New Roman" w:hAnsi="Times New Roman" w:cs="Times New Roman"/>
                <w:color w:val="auto"/>
                <w:sz w:val="24"/>
                <w:szCs w:val="24"/>
              </w:rPr>
              <w:t xml:space="preserve">un </w:t>
            </w:r>
            <w:r w:rsidR="00D119B6">
              <w:rPr>
                <w:rFonts w:ascii="Times New Roman" w:hAnsi="Times New Roman" w:cs="Times New Roman"/>
                <w:color w:val="auto"/>
                <w:sz w:val="24"/>
                <w:szCs w:val="24"/>
              </w:rPr>
              <w:t>“</w:t>
            </w:r>
            <w:r>
              <w:rPr>
                <w:rFonts w:ascii="Times New Roman" w:hAnsi="Times New Roman" w:cs="Times New Roman"/>
                <w:color w:val="auto"/>
                <w:sz w:val="24"/>
                <w:szCs w:val="24"/>
              </w:rPr>
              <w:t>LINK</w:t>
            </w:r>
            <w:r w:rsidR="00D119B6">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proofErr w:type="spellStart"/>
            <w:r>
              <w:rPr>
                <w:rFonts w:ascii="Times New Roman" w:hAnsi="Times New Roman" w:cs="Times New Roman"/>
                <w:color w:val="auto"/>
                <w:sz w:val="24"/>
                <w:szCs w:val="24"/>
              </w:rPr>
              <w:t>Erasmus</w:t>
            </w:r>
            <w:proofErr w:type="spellEnd"/>
            <w:r>
              <w:rPr>
                <w:rFonts w:ascii="Times New Roman" w:hAnsi="Times New Roman" w:cs="Times New Roman"/>
                <w:color w:val="auto"/>
                <w:sz w:val="24"/>
                <w:szCs w:val="24"/>
              </w:rPr>
              <w:t xml:space="preserve">+) </w:t>
            </w:r>
            <w:r w:rsidRPr="00284E49">
              <w:rPr>
                <w:rFonts w:ascii="Times New Roman" w:hAnsi="Times New Roman" w:cs="Times New Roman"/>
                <w:color w:val="auto"/>
                <w:sz w:val="24"/>
                <w:szCs w:val="24"/>
              </w:rPr>
              <w:t xml:space="preserve"> </w:t>
            </w:r>
          </w:p>
          <w:p w14:paraId="39DEDFD3" w14:textId="77777777" w:rsidR="009205E4" w:rsidRPr="00284E49" w:rsidRDefault="009205E4" w:rsidP="002C49EF">
            <w:pPr>
              <w:jc w:val="both"/>
            </w:pPr>
          </w:p>
        </w:tc>
      </w:tr>
      <w:tr w:rsidR="009205E4" w:rsidRPr="00284E49" w14:paraId="7E1FB530" w14:textId="77777777" w:rsidTr="00C7365C">
        <w:trPr>
          <w:trHeight w:val="716"/>
        </w:trPr>
        <w:tc>
          <w:tcPr>
            <w:tcW w:w="516" w:type="dxa"/>
            <w:tcBorders>
              <w:top w:val="nil"/>
              <w:left w:val="single" w:sz="8" w:space="0" w:color="auto"/>
              <w:bottom w:val="single" w:sz="8" w:space="0" w:color="auto"/>
              <w:right w:val="single" w:sz="4" w:space="0" w:color="auto"/>
            </w:tcBorders>
          </w:tcPr>
          <w:p w14:paraId="6BF74DA3" w14:textId="77777777" w:rsidR="009205E4" w:rsidRPr="00284E49" w:rsidRDefault="009205E4" w:rsidP="002C49EF">
            <w:r w:rsidRPr="00284E49">
              <w:t>10</w:t>
            </w:r>
          </w:p>
        </w:tc>
        <w:tc>
          <w:tcPr>
            <w:tcW w:w="3171" w:type="dxa"/>
            <w:tcBorders>
              <w:top w:val="nil"/>
              <w:left w:val="nil"/>
              <w:bottom w:val="single" w:sz="8" w:space="0" w:color="auto"/>
              <w:right w:val="single" w:sz="4" w:space="0" w:color="auto"/>
            </w:tcBorders>
          </w:tcPr>
          <w:p w14:paraId="096A6153" w14:textId="77777777" w:rsidR="009205E4" w:rsidRPr="00284E49" w:rsidRDefault="009205E4" w:rsidP="002C49EF">
            <w:pPr>
              <w:rPr>
                <w:b/>
              </w:rPr>
            </w:pPr>
            <w:r w:rsidRPr="00284E49">
              <w:rPr>
                <w:b/>
              </w:rPr>
              <w:t>Projekta idejas iesniedzēja funkcija</w:t>
            </w:r>
            <w:r w:rsidRPr="00284E49">
              <w:t xml:space="preserve">, kas tiek nodrošināta, </w:t>
            </w:r>
            <w:r w:rsidRPr="00284E49">
              <w:rPr>
                <w:b/>
                <w:bCs/>
              </w:rPr>
              <w:t xml:space="preserve">un kapacitāte, </w:t>
            </w:r>
            <w:r w:rsidRPr="00284E49">
              <w:t>īstenojot projektu</w:t>
            </w:r>
          </w:p>
        </w:tc>
        <w:tc>
          <w:tcPr>
            <w:tcW w:w="5953" w:type="dxa"/>
            <w:tcBorders>
              <w:top w:val="nil"/>
              <w:left w:val="nil"/>
              <w:bottom w:val="single" w:sz="8" w:space="0" w:color="auto"/>
              <w:right w:val="single" w:sz="8" w:space="0" w:color="auto"/>
            </w:tcBorders>
          </w:tcPr>
          <w:p w14:paraId="51247169" w14:textId="77777777" w:rsidR="009205E4" w:rsidRPr="00284E49" w:rsidRDefault="009205E4" w:rsidP="002C49EF">
            <w:pPr>
              <w:jc w:val="both"/>
              <w:rPr>
                <w:rFonts w:eastAsia="Calibri"/>
              </w:rPr>
            </w:pPr>
            <w:r w:rsidRPr="00284E49">
              <w:rPr>
                <w:rFonts w:eastAsia="Calibri"/>
              </w:rPr>
              <w:t>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palīdzēs sasniegt Zemgales plānošanas reģiona Attīstības programmā un Rīcības plānā nospraustos mērķus.</w:t>
            </w:r>
          </w:p>
        </w:tc>
      </w:tr>
      <w:tr w:rsidR="009205E4" w:rsidRPr="00284E49" w14:paraId="1E5B1259" w14:textId="77777777" w:rsidTr="00C7365C">
        <w:trPr>
          <w:trHeight w:val="734"/>
        </w:trPr>
        <w:tc>
          <w:tcPr>
            <w:tcW w:w="516" w:type="dxa"/>
            <w:tcBorders>
              <w:top w:val="nil"/>
              <w:left w:val="single" w:sz="8" w:space="0" w:color="auto"/>
              <w:bottom w:val="single" w:sz="8" w:space="0" w:color="auto"/>
              <w:right w:val="single" w:sz="4" w:space="0" w:color="auto"/>
            </w:tcBorders>
            <w:hideMark/>
          </w:tcPr>
          <w:p w14:paraId="2176EFCB" w14:textId="77777777" w:rsidR="009205E4" w:rsidRPr="00284E49" w:rsidRDefault="009205E4" w:rsidP="002C49EF">
            <w:r w:rsidRPr="00284E49">
              <w:t xml:space="preserve">11. </w:t>
            </w:r>
          </w:p>
        </w:tc>
        <w:tc>
          <w:tcPr>
            <w:tcW w:w="3171" w:type="dxa"/>
            <w:tcBorders>
              <w:top w:val="nil"/>
              <w:left w:val="nil"/>
              <w:bottom w:val="single" w:sz="8" w:space="0" w:color="auto"/>
              <w:right w:val="single" w:sz="4" w:space="0" w:color="auto"/>
            </w:tcBorders>
          </w:tcPr>
          <w:p w14:paraId="6ADA143D" w14:textId="77777777" w:rsidR="009205E4" w:rsidRPr="00284E49" w:rsidRDefault="009205E4" w:rsidP="002C49EF">
            <w:r w:rsidRPr="00284E49">
              <w:t>Projekta ietvaros plānotā sadarbība/</w:t>
            </w:r>
            <w:r w:rsidRPr="00284E49">
              <w:rPr>
                <w:b/>
                <w:bCs/>
              </w:rPr>
              <w:t xml:space="preserve">projekta partneri </w:t>
            </w:r>
            <w:r w:rsidRPr="00284E49">
              <w:t>un to loma</w:t>
            </w:r>
          </w:p>
          <w:p w14:paraId="4B474BAA" w14:textId="77777777" w:rsidR="009205E4" w:rsidRPr="00284E49" w:rsidRDefault="009205E4" w:rsidP="002C49EF"/>
        </w:tc>
        <w:tc>
          <w:tcPr>
            <w:tcW w:w="5953" w:type="dxa"/>
            <w:tcBorders>
              <w:top w:val="nil"/>
              <w:left w:val="nil"/>
              <w:bottom w:val="single" w:sz="8" w:space="0" w:color="auto"/>
              <w:right w:val="single" w:sz="8" w:space="0" w:color="auto"/>
            </w:tcBorders>
            <w:hideMark/>
          </w:tcPr>
          <w:p w14:paraId="092E9AFE" w14:textId="77777777" w:rsidR="009205E4" w:rsidRPr="00284E49" w:rsidRDefault="009205E4" w:rsidP="002C49EF">
            <w:r w:rsidRPr="00284E49">
              <w:t>Zemgales plānošanas reģions – vadošais partneris</w:t>
            </w:r>
          </w:p>
          <w:p w14:paraId="5BFCBAC5" w14:textId="77777777" w:rsidR="009205E4" w:rsidRPr="00284E49" w:rsidRDefault="009205E4" w:rsidP="002C49EF">
            <w:r w:rsidRPr="00284E49">
              <w:t>Sadarbības partneri:</w:t>
            </w:r>
          </w:p>
          <w:p w14:paraId="33AE2876" w14:textId="6DA17134" w:rsidR="00FD1844" w:rsidRPr="00FD1844" w:rsidRDefault="00FD1844" w:rsidP="00FD1844">
            <w:pPr>
              <w:pStyle w:val="Paraststmeklis"/>
              <w:rPr>
                <w:bCs/>
                <w:lang w:val="en-GB"/>
              </w:rPr>
            </w:pPr>
            <w:proofErr w:type="spellStart"/>
            <w:r>
              <w:rPr>
                <w:bCs/>
                <w:lang w:val="en-GB"/>
              </w:rPr>
              <w:t>Upsalas</w:t>
            </w:r>
            <w:proofErr w:type="spellEnd"/>
            <w:r>
              <w:rPr>
                <w:bCs/>
                <w:lang w:val="en-GB"/>
              </w:rPr>
              <w:t xml:space="preserve"> </w:t>
            </w:r>
            <w:proofErr w:type="spellStart"/>
            <w:r>
              <w:rPr>
                <w:bCs/>
                <w:lang w:val="en-GB"/>
              </w:rPr>
              <w:t>reģions</w:t>
            </w:r>
            <w:proofErr w:type="spellEnd"/>
          </w:p>
          <w:p w14:paraId="570CBA7C" w14:textId="77777777" w:rsidR="009205E4" w:rsidRPr="00FD1844" w:rsidRDefault="009205E4" w:rsidP="00FD1844">
            <w:pPr>
              <w:rPr>
                <w:lang w:val="en-GB"/>
              </w:rPr>
            </w:pPr>
          </w:p>
        </w:tc>
      </w:tr>
      <w:tr w:rsidR="009205E4" w:rsidRPr="00284E49" w14:paraId="6E9F605B" w14:textId="77777777" w:rsidTr="00C7365C">
        <w:trPr>
          <w:trHeight w:val="462"/>
        </w:trPr>
        <w:tc>
          <w:tcPr>
            <w:tcW w:w="516" w:type="dxa"/>
            <w:tcBorders>
              <w:top w:val="nil"/>
              <w:left w:val="single" w:sz="8" w:space="0" w:color="auto"/>
              <w:bottom w:val="single" w:sz="8" w:space="0" w:color="auto"/>
              <w:right w:val="single" w:sz="4" w:space="0" w:color="auto"/>
            </w:tcBorders>
            <w:hideMark/>
          </w:tcPr>
          <w:p w14:paraId="26DB9801" w14:textId="77777777" w:rsidR="009205E4" w:rsidRPr="00284E49" w:rsidRDefault="009205E4" w:rsidP="002C49EF">
            <w:r w:rsidRPr="00284E49">
              <w:t>12.</w:t>
            </w:r>
          </w:p>
        </w:tc>
        <w:tc>
          <w:tcPr>
            <w:tcW w:w="3171" w:type="dxa"/>
            <w:tcBorders>
              <w:top w:val="nil"/>
              <w:left w:val="nil"/>
              <w:bottom w:val="single" w:sz="8" w:space="0" w:color="auto"/>
              <w:right w:val="single" w:sz="4" w:space="0" w:color="auto"/>
            </w:tcBorders>
          </w:tcPr>
          <w:p w14:paraId="516336A1" w14:textId="77777777" w:rsidR="009205E4" w:rsidRPr="00284E49" w:rsidRDefault="009205E4" w:rsidP="002C49EF">
            <w:pPr>
              <w:rPr>
                <w:b/>
              </w:rPr>
            </w:pPr>
            <w:r w:rsidRPr="00284E49">
              <w:rPr>
                <w:b/>
              </w:rPr>
              <w:t xml:space="preserve">Finansējuma avots </w:t>
            </w:r>
            <w:r w:rsidRPr="00284E49">
              <w:t>(fonds)</w:t>
            </w:r>
          </w:p>
          <w:p w14:paraId="66339747" w14:textId="77777777" w:rsidR="009205E4" w:rsidRPr="00284E49" w:rsidRDefault="009205E4" w:rsidP="002C49EF"/>
        </w:tc>
        <w:tc>
          <w:tcPr>
            <w:tcW w:w="5953" w:type="dxa"/>
            <w:tcBorders>
              <w:top w:val="nil"/>
              <w:left w:val="nil"/>
              <w:bottom w:val="single" w:sz="8" w:space="0" w:color="auto"/>
              <w:right w:val="single" w:sz="8" w:space="0" w:color="auto"/>
            </w:tcBorders>
          </w:tcPr>
          <w:p w14:paraId="643F61FF" w14:textId="77777777" w:rsidR="009205E4" w:rsidRPr="00284E49" w:rsidRDefault="009205E4" w:rsidP="002C49EF">
            <w:proofErr w:type="spellStart"/>
            <w:r w:rsidRPr="00284E49">
              <w:t>Interreg</w:t>
            </w:r>
            <w:proofErr w:type="spellEnd"/>
            <w:r w:rsidRPr="00284E49">
              <w:t xml:space="preserve"> </w:t>
            </w:r>
            <w:proofErr w:type="spellStart"/>
            <w:r w:rsidRPr="00284E49">
              <w:t>CentrālBaltijas</w:t>
            </w:r>
            <w:proofErr w:type="spellEnd"/>
            <w:r w:rsidRPr="00284E49">
              <w:t xml:space="preserve"> Programma</w:t>
            </w:r>
          </w:p>
        </w:tc>
      </w:tr>
      <w:tr w:rsidR="009205E4" w:rsidRPr="00284E49" w14:paraId="20312DAC" w14:textId="77777777" w:rsidTr="00C7365C">
        <w:trPr>
          <w:trHeight w:val="510"/>
        </w:trPr>
        <w:tc>
          <w:tcPr>
            <w:tcW w:w="516" w:type="dxa"/>
            <w:vMerge w:val="restart"/>
            <w:tcBorders>
              <w:top w:val="single" w:sz="4" w:space="0" w:color="auto"/>
              <w:left w:val="single" w:sz="8" w:space="0" w:color="auto"/>
              <w:bottom w:val="single" w:sz="8" w:space="0" w:color="auto"/>
              <w:right w:val="single" w:sz="4" w:space="0" w:color="auto"/>
            </w:tcBorders>
            <w:hideMark/>
          </w:tcPr>
          <w:p w14:paraId="73407266" w14:textId="77777777" w:rsidR="009205E4" w:rsidRPr="00284E49" w:rsidRDefault="009205E4" w:rsidP="002C49EF">
            <w:r w:rsidRPr="00284E49">
              <w:t xml:space="preserve">13. </w:t>
            </w:r>
          </w:p>
        </w:tc>
        <w:tc>
          <w:tcPr>
            <w:tcW w:w="3171" w:type="dxa"/>
            <w:tcBorders>
              <w:top w:val="single" w:sz="4" w:space="0" w:color="auto"/>
              <w:left w:val="nil"/>
              <w:bottom w:val="single" w:sz="4" w:space="0" w:color="auto"/>
              <w:right w:val="single" w:sz="4" w:space="0" w:color="auto"/>
            </w:tcBorders>
            <w:hideMark/>
          </w:tcPr>
          <w:p w14:paraId="0A71B043" w14:textId="77777777" w:rsidR="009205E4" w:rsidRPr="00284E49" w:rsidRDefault="009205E4" w:rsidP="002C49EF">
            <w:r w:rsidRPr="00284E49">
              <w:t xml:space="preserve">Projekta </w:t>
            </w:r>
            <w:r w:rsidRPr="00284E49">
              <w:rPr>
                <w:b/>
                <w:bCs/>
              </w:rPr>
              <w:t xml:space="preserve">kopējais </w:t>
            </w:r>
            <w:r w:rsidRPr="00284E49">
              <w:t xml:space="preserve">indikatīvais </w:t>
            </w:r>
            <w:r w:rsidRPr="00284E49">
              <w:rPr>
                <w:b/>
                <w:bCs/>
              </w:rPr>
              <w:t>finansējums (EUR)</w:t>
            </w:r>
            <w:r w:rsidRPr="00284E49">
              <w:t xml:space="preserve"> (programmas līdzfinansējums plus pašu līdzfinansējuma daļa), no tā:</w:t>
            </w:r>
          </w:p>
        </w:tc>
        <w:tc>
          <w:tcPr>
            <w:tcW w:w="5953" w:type="dxa"/>
            <w:tcBorders>
              <w:top w:val="single" w:sz="4" w:space="0" w:color="auto"/>
              <w:left w:val="nil"/>
              <w:bottom w:val="single" w:sz="4" w:space="0" w:color="auto"/>
              <w:right w:val="single" w:sz="8" w:space="0" w:color="auto"/>
            </w:tcBorders>
            <w:hideMark/>
          </w:tcPr>
          <w:p w14:paraId="4683C1E5" w14:textId="77777777" w:rsidR="009205E4" w:rsidRPr="00284E49" w:rsidRDefault="009205E4" w:rsidP="002C49EF">
            <w:r w:rsidRPr="00284E49">
              <w:t xml:space="preserve"> </w:t>
            </w:r>
          </w:p>
          <w:p w14:paraId="47B259F0" w14:textId="69E0A5CA" w:rsidR="009205E4" w:rsidRPr="00284E49" w:rsidRDefault="009205E4" w:rsidP="002C49EF">
            <w:r w:rsidRPr="00284E49">
              <w:t xml:space="preserve">1 </w:t>
            </w:r>
            <w:r w:rsidR="00DB4292">
              <w:t>0</w:t>
            </w:r>
            <w:r w:rsidRPr="00284E49">
              <w:t xml:space="preserve">00 </w:t>
            </w:r>
            <w:r w:rsidR="00DB4292">
              <w:t>2</w:t>
            </w:r>
            <w:r w:rsidRPr="00284E49">
              <w:t>00 EUR</w:t>
            </w:r>
          </w:p>
        </w:tc>
      </w:tr>
      <w:tr w:rsidR="009205E4" w:rsidRPr="00284E49" w14:paraId="3F36FB0D" w14:textId="77777777" w:rsidTr="00C7365C">
        <w:trPr>
          <w:trHeight w:val="510"/>
        </w:trPr>
        <w:tc>
          <w:tcPr>
            <w:tcW w:w="0" w:type="auto"/>
            <w:vMerge/>
            <w:tcBorders>
              <w:top w:val="single" w:sz="4" w:space="0" w:color="auto"/>
              <w:left w:val="single" w:sz="8" w:space="0" w:color="auto"/>
              <w:bottom w:val="single" w:sz="8" w:space="0" w:color="auto"/>
              <w:right w:val="single" w:sz="4" w:space="0" w:color="auto"/>
            </w:tcBorders>
            <w:vAlign w:val="center"/>
            <w:hideMark/>
          </w:tcPr>
          <w:p w14:paraId="19B1DF07" w14:textId="77777777" w:rsidR="009205E4" w:rsidRPr="00284E49" w:rsidRDefault="009205E4" w:rsidP="002C49EF"/>
        </w:tc>
        <w:tc>
          <w:tcPr>
            <w:tcW w:w="3171" w:type="dxa"/>
            <w:tcBorders>
              <w:top w:val="nil"/>
              <w:left w:val="nil"/>
              <w:bottom w:val="single" w:sz="4" w:space="0" w:color="auto"/>
              <w:right w:val="single" w:sz="4" w:space="0" w:color="auto"/>
            </w:tcBorders>
            <w:hideMark/>
          </w:tcPr>
          <w:p w14:paraId="57C5C437" w14:textId="77777777" w:rsidR="009205E4" w:rsidRPr="00284E49" w:rsidRDefault="009205E4" w:rsidP="002C49EF">
            <w:pPr>
              <w:rPr>
                <w:b/>
                <w:bCs/>
              </w:rPr>
            </w:pPr>
            <w:r w:rsidRPr="00284E49">
              <w:rPr>
                <w:b/>
                <w:bCs/>
              </w:rPr>
              <w:t xml:space="preserve">Projekta idejas iesniedzēja budžeta daļa projektā </w:t>
            </w:r>
            <w:r w:rsidRPr="00284E49">
              <w:t>(EUR), no tā:</w:t>
            </w:r>
          </w:p>
        </w:tc>
        <w:tc>
          <w:tcPr>
            <w:tcW w:w="5953" w:type="dxa"/>
            <w:tcBorders>
              <w:top w:val="nil"/>
              <w:left w:val="nil"/>
              <w:bottom w:val="single" w:sz="4" w:space="0" w:color="auto"/>
              <w:right w:val="single" w:sz="8" w:space="0" w:color="auto"/>
            </w:tcBorders>
          </w:tcPr>
          <w:p w14:paraId="5905666B" w14:textId="77777777" w:rsidR="009205E4" w:rsidRPr="00284E49" w:rsidRDefault="009205E4" w:rsidP="002C49EF">
            <w:r w:rsidRPr="00284E49">
              <w:t>400 000 EUR</w:t>
            </w:r>
          </w:p>
        </w:tc>
      </w:tr>
      <w:tr w:rsidR="009205E4" w:rsidRPr="00284E49" w14:paraId="14D28697" w14:textId="77777777" w:rsidTr="00C7365C">
        <w:trPr>
          <w:trHeight w:val="456"/>
        </w:trPr>
        <w:tc>
          <w:tcPr>
            <w:tcW w:w="0" w:type="auto"/>
            <w:vMerge/>
            <w:tcBorders>
              <w:top w:val="single" w:sz="4" w:space="0" w:color="auto"/>
              <w:left w:val="single" w:sz="8" w:space="0" w:color="auto"/>
              <w:bottom w:val="single" w:sz="8" w:space="0" w:color="auto"/>
              <w:right w:val="single" w:sz="4" w:space="0" w:color="auto"/>
            </w:tcBorders>
            <w:vAlign w:val="center"/>
            <w:hideMark/>
          </w:tcPr>
          <w:p w14:paraId="3B49F5F1" w14:textId="77777777" w:rsidR="009205E4" w:rsidRPr="00284E49" w:rsidRDefault="009205E4" w:rsidP="002C49EF"/>
        </w:tc>
        <w:tc>
          <w:tcPr>
            <w:tcW w:w="3171" w:type="dxa"/>
            <w:tcBorders>
              <w:top w:val="nil"/>
              <w:left w:val="nil"/>
              <w:bottom w:val="single" w:sz="4" w:space="0" w:color="auto"/>
              <w:right w:val="single" w:sz="4" w:space="0" w:color="auto"/>
            </w:tcBorders>
          </w:tcPr>
          <w:p w14:paraId="1F6CFEB0" w14:textId="77777777" w:rsidR="009205E4" w:rsidRPr="00284E49" w:rsidRDefault="009205E4" w:rsidP="002C49EF">
            <w:r w:rsidRPr="00284E49">
              <w:t>Programmas līdzfinansējuma daļa (EUR)</w:t>
            </w:r>
          </w:p>
          <w:p w14:paraId="33735B23" w14:textId="77777777" w:rsidR="009205E4" w:rsidRPr="00284E49" w:rsidRDefault="009205E4" w:rsidP="002C49EF"/>
        </w:tc>
        <w:tc>
          <w:tcPr>
            <w:tcW w:w="5953" w:type="dxa"/>
            <w:tcBorders>
              <w:top w:val="nil"/>
              <w:left w:val="nil"/>
              <w:bottom w:val="single" w:sz="4" w:space="0" w:color="auto"/>
              <w:right w:val="single" w:sz="8" w:space="0" w:color="auto"/>
            </w:tcBorders>
          </w:tcPr>
          <w:p w14:paraId="6B7C2634" w14:textId="77777777" w:rsidR="009205E4" w:rsidRPr="00284E49" w:rsidRDefault="009205E4" w:rsidP="002C49EF">
            <w:r w:rsidRPr="00284E49">
              <w:t xml:space="preserve">80%,  320 000 EUR </w:t>
            </w:r>
          </w:p>
        </w:tc>
      </w:tr>
      <w:tr w:rsidR="009205E4" w:rsidRPr="00284E49" w14:paraId="65B1E6F7" w14:textId="77777777" w:rsidTr="00C7365C">
        <w:trPr>
          <w:trHeight w:val="406"/>
        </w:trPr>
        <w:tc>
          <w:tcPr>
            <w:tcW w:w="0" w:type="auto"/>
            <w:vMerge/>
            <w:tcBorders>
              <w:top w:val="single" w:sz="4" w:space="0" w:color="auto"/>
              <w:left w:val="single" w:sz="8" w:space="0" w:color="auto"/>
              <w:bottom w:val="single" w:sz="8" w:space="0" w:color="auto"/>
              <w:right w:val="single" w:sz="4" w:space="0" w:color="auto"/>
            </w:tcBorders>
            <w:vAlign w:val="center"/>
            <w:hideMark/>
          </w:tcPr>
          <w:p w14:paraId="6B81FF55" w14:textId="77777777" w:rsidR="009205E4" w:rsidRPr="00284E49" w:rsidRDefault="009205E4" w:rsidP="002C49EF"/>
        </w:tc>
        <w:tc>
          <w:tcPr>
            <w:tcW w:w="3171" w:type="dxa"/>
            <w:tcBorders>
              <w:top w:val="nil"/>
              <w:left w:val="nil"/>
              <w:bottom w:val="single" w:sz="8" w:space="0" w:color="auto"/>
              <w:right w:val="single" w:sz="4" w:space="0" w:color="auto"/>
            </w:tcBorders>
          </w:tcPr>
          <w:p w14:paraId="752D4DB9" w14:textId="77777777" w:rsidR="009205E4" w:rsidRPr="00284E49" w:rsidRDefault="009205E4" w:rsidP="002C49EF">
            <w:r w:rsidRPr="00284E49">
              <w:t>Pašu līdzfinansējuma daļa (EUR)</w:t>
            </w:r>
          </w:p>
        </w:tc>
        <w:tc>
          <w:tcPr>
            <w:tcW w:w="5953" w:type="dxa"/>
            <w:tcBorders>
              <w:top w:val="nil"/>
              <w:left w:val="nil"/>
              <w:bottom w:val="single" w:sz="8" w:space="0" w:color="auto"/>
              <w:right w:val="single" w:sz="8" w:space="0" w:color="auto"/>
            </w:tcBorders>
          </w:tcPr>
          <w:p w14:paraId="660B9722" w14:textId="77777777" w:rsidR="009205E4" w:rsidRPr="00284E49" w:rsidRDefault="009205E4" w:rsidP="002C49EF">
            <w:r w:rsidRPr="00284E49">
              <w:t>0</w:t>
            </w:r>
          </w:p>
        </w:tc>
      </w:tr>
      <w:tr w:rsidR="009205E4" w:rsidRPr="00284E49" w14:paraId="6ECFD181" w14:textId="77777777" w:rsidTr="00C7365C">
        <w:trPr>
          <w:trHeight w:val="659"/>
        </w:trPr>
        <w:tc>
          <w:tcPr>
            <w:tcW w:w="0" w:type="auto"/>
            <w:vMerge/>
            <w:tcBorders>
              <w:top w:val="single" w:sz="4" w:space="0" w:color="auto"/>
              <w:left w:val="single" w:sz="8" w:space="0" w:color="auto"/>
              <w:right w:val="single" w:sz="4" w:space="0" w:color="auto"/>
            </w:tcBorders>
            <w:vAlign w:val="center"/>
            <w:hideMark/>
          </w:tcPr>
          <w:p w14:paraId="74F675FB" w14:textId="77777777" w:rsidR="009205E4" w:rsidRPr="00284E49" w:rsidRDefault="009205E4" w:rsidP="002C49EF"/>
        </w:tc>
        <w:tc>
          <w:tcPr>
            <w:tcW w:w="3171" w:type="dxa"/>
            <w:tcBorders>
              <w:top w:val="nil"/>
              <w:left w:val="nil"/>
              <w:bottom w:val="single" w:sz="8" w:space="0" w:color="auto"/>
              <w:right w:val="single" w:sz="4" w:space="0" w:color="auto"/>
            </w:tcBorders>
          </w:tcPr>
          <w:p w14:paraId="2E191FBC" w14:textId="77777777" w:rsidR="009205E4" w:rsidRPr="00284E49" w:rsidRDefault="009205E4" w:rsidP="002C49EF">
            <w:r w:rsidRPr="00284E49">
              <w:rPr>
                <w:b/>
              </w:rPr>
              <w:t>No pašu līdzfinansējuma daļas nepieciešamais valsts budžeta līdzfinansējums</w:t>
            </w:r>
            <w:r w:rsidRPr="00284E49">
              <w:t xml:space="preserve"> (EUR)</w:t>
            </w:r>
          </w:p>
        </w:tc>
        <w:tc>
          <w:tcPr>
            <w:tcW w:w="5953" w:type="dxa"/>
            <w:tcBorders>
              <w:top w:val="nil"/>
              <w:left w:val="nil"/>
              <w:bottom w:val="single" w:sz="8" w:space="0" w:color="auto"/>
              <w:right w:val="single" w:sz="8" w:space="0" w:color="auto"/>
            </w:tcBorders>
          </w:tcPr>
          <w:p w14:paraId="14E34B63" w14:textId="77777777" w:rsidR="009205E4" w:rsidRPr="00284E49" w:rsidRDefault="009205E4" w:rsidP="002C49EF">
            <w:r w:rsidRPr="00284E49">
              <w:t>0</w:t>
            </w:r>
          </w:p>
        </w:tc>
      </w:tr>
      <w:tr w:rsidR="009205E4" w:rsidRPr="00284E49" w14:paraId="20889F7E" w14:textId="77777777" w:rsidTr="00C7365C">
        <w:trPr>
          <w:trHeight w:val="525"/>
        </w:trPr>
        <w:tc>
          <w:tcPr>
            <w:tcW w:w="516" w:type="dxa"/>
            <w:tcBorders>
              <w:left w:val="single" w:sz="8" w:space="0" w:color="auto"/>
              <w:bottom w:val="single" w:sz="8" w:space="0" w:color="auto"/>
              <w:right w:val="single" w:sz="4" w:space="0" w:color="auto"/>
            </w:tcBorders>
          </w:tcPr>
          <w:p w14:paraId="35A53913" w14:textId="77777777" w:rsidR="009205E4" w:rsidRPr="00284E49" w:rsidRDefault="009205E4" w:rsidP="002C49EF"/>
        </w:tc>
        <w:tc>
          <w:tcPr>
            <w:tcW w:w="3171" w:type="dxa"/>
            <w:tcBorders>
              <w:top w:val="nil"/>
              <w:left w:val="nil"/>
              <w:bottom w:val="single" w:sz="8" w:space="0" w:color="auto"/>
              <w:right w:val="single" w:sz="4" w:space="0" w:color="auto"/>
            </w:tcBorders>
          </w:tcPr>
          <w:p w14:paraId="1E8B6772" w14:textId="77777777" w:rsidR="009205E4" w:rsidRPr="00284E49" w:rsidRDefault="009205E4" w:rsidP="002C49EF">
            <w:r w:rsidRPr="00284E49">
              <w:t xml:space="preserve">No valsts budžeta nepieciešamā </w:t>
            </w:r>
            <w:r w:rsidRPr="00284E49">
              <w:rPr>
                <w:b/>
              </w:rPr>
              <w:t xml:space="preserve">dotācija projekta </w:t>
            </w:r>
            <w:proofErr w:type="spellStart"/>
            <w:r w:rsidRPr="00284E49">
              <w:rPr>
                <w:b/>
              </w:rPr>
              <w:t>priekšfinansējuma</w:t>
            </w:r>
            <w:proofErr w:type="spellEnd"/>
            <w:r w:rsidRPr="00284E49">
              <w:t xml:space="preserve"> nodrošināšanai (EUR) </w:t>
            </w:r>
          </w:p>
        </w:tc>
        <w:tc>
          <w:tcPr>
            <w:tcW w:w="5953" w:type="dxa"/>
            <w:tcBorders>
              <w:top w:val="nil"/>
              <w:left w:val="nil"/>
              <w:bottom w:val="single" w:sz="8" w:space="0" w:color="auto"/>
              <w:right w:val="single" w:sz="8" w:space="0" w:color="auto"/>
            </w:tcBorders>
          </w:tcPr>
          <w:p w14:paraId="650C3636" w14:textId="77777777" w:rsidR="009205E4" w:rsidRPr="00284E49" w:rsidRDefault="009205E4" w:rsidP="002C49EF">
            <w:r w:rsidRPr="00284E49">
              <w:t xml:space="preserve">80 000 EUR </w:t>
            </w:r>
          </w:p>
        </w:tc>
      </w:tr>
      <w:tr w:rsidR="009205E4" w:rsidRPr="00284E49" w14:paraId="4D1D892F" w14:textId="77777777" w:rsidTr="00C7365C">
        <w:trPr>
          <w:trHeight w:val="525"/>
        </w:trPr>
        <w:tc>
          <w:tcPr>
            <w:tcW w:w="516" w:type="dxa"/>
            <w:tcBorders>
              <w:top w:val="nil"/>
              <w:left w:val="single" w:sz="8" w:space="0" w:color="auto"/>
              <w:bottom w:val="single" w:sz="8" w:space="0" w:color="auto"/>
              <w:right w:val="single" w:sz="4" w:space="0" w:color="auto"/>
            </w:tcBorders>
            <w:hideMark/>
          </w:tcPr>
          <w:p w14:paraId="345B7180" w14:textId="77777777" w:rsidR="009205E4" w:rsidRPr="00284E49" w:rsidRDefault="009205E4" w:rsidP="002C49EF">
            <w:r w:rsidRPr="00284E49">
              <w:t>14.</w:t>
            </w:r>
          </w:p>
        </w:tc>
        <w:tc>
          <w:tcPr>
            <w:tcW w:w="3171" w:type="dxa"/>
            <w:tcBorders>
              <w:top w:val="nil"/>
              <w:left w:val="nil"/>
              <w:bottom w:val="single" w:sz="8" w:space="0" w:color="auto"/>
              <w:right w:val="single" w:sz="4" w:space="0" w:color="auto"/>
            </w:tcBorders>
            <w:hideMark/>
          </w:tcPr>
          <w:p w14:paraId="331E1557" w14:textId="77777777" w:rsidR="009205E4" w:rsidRPr="00284E49" w:rsidRDefault="009205E4" w:rsidP="002C49EF">
            <w:r w:rsidRPr="00284E49">
              <w:t>Indikatīvais projekta ī</w:t>
            </w:r>
            <w:r w:rsidRPr="00284E49">
              <w:rPr>
                <w:b/>
                <w:bCs/>
              </w:rPr>
              <w:t>stenošanas laiks</w:t>
            </w:r>
            <w:r w:rsidRPr="00284E49">
              <w:t xml:space="preserve"> (no - līdz)</w:t>
            </w:r>
          </w:p>
        </w:tc>
        <w:tc>
          <w:tcPr>
            <w:tcW w:w="5953" w:type="dxa"/>
            <w:tcBorders>
              <w:top w:val="nil"/>
              <w:left w:val="nil"/>
              <w:bottom w:val="single" w:sz="8" w:space="0" w:color="auto"/>
              <w:right w:val="single" w:sz="8" w:space="0" w:color="auto"/>
            </w:tcBorders>
          </w:tcPr>
          <w:p w14:paraId="24257C48" w14:textId="77777777" w:rsidR="009205E4" w:rsidRPr="00284E49" w:rsidRDefault="009205E4" w:rsidP="002C49EF">
            <w:r w:rsidRPr="00284E49">
              <w:t xml:space="preserve">2026.gada marts – 2028.gada </w:t>
            </w:r>
            <w:proofErr w:type="spellStart"/>
            <w:r w:rsidRPr="00284E49">
              <w:t>februaris</w:t>
            </w:r>
            <w:proofErr w:type="spellEnd"/>
          </w:p>
        </w:tc>
      </w:tr>
      <w:tr w:rsidR="009205E4" w:rsidRPr="00284E49" w14:paraId="054CD949" w14:textId="77777777" w:rsidTr="00C7365C">
        <w:trPr>
          <w:trHeight w:val="525"/>
        </w:trPr>
        <w:tc>
          <w:tcPr>
            <w:tcW w:w="516" w:type="dxa"/>
            <w:tcBorders>
              <w:top w:val="nil"/>
              <w:left w:val="single" w:sz="8" w:space="0" w:color="auto"/>
              <w:bottom w:val="nil"/>
              <w:right w:val="single" w:sz="4" w:space="0" w:color="auto"/>
            </w:tcBorders>
            <w:hideMark/>
          </w:tcPr>
          <w:p w14:paraId="01249E4E" w14:textId="77777777" w:rsidR="009205E4" w:rsidRPr="00284E49" w:rsidRDefault="009205E4" w:rsidP="002C49EF">
            <w:r w:rsidRPr="00284E49">
              <w:t>15.</w:t>
            </w:r>
          </w:p>
        </w:tc>
        <w:tc>
          <w:tcPr>
            <w:tcW w:w="3171" w:type="dxa"/>
            <w:tcBorders>
              <w:top w:val="nil"/>
              <w:left w:val="nil"/>
              <w:bottom w:val="nil"/>
              <w:right w:val="single" w:sz="4" w:space="0" w:color="auto"/>
            </w:tcBorders>
            <w:hideMark/>
          </w:tcPr>
          <w:p w14:paraId="74D9BBB9" w14:textId="77777777" w:rsidR="009205E4" w:rsidRPr="00284E49" w:rsidRDefault="009205E4" w:rsidP="002C49EF">
            <w:r w:rsidRPr="00284E49">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nil"/>
              <w:right w:val="single" w:sz="8" w:space="0" w:color="auto"/>
            </w:tcBorders>
          </w:tcPr>
          <w:p w14:paraId="60039A8C" w14:textId="77777777" w:rsidR="009205E4" w:rsidRPr="00284E49" w:rsidRDefault="009205E4" w:rsidP="002C49EF">
            <w:pPr>
              <w:jc w:val="both"/>
            </w:pPr>
            <w:r w:rsidRPr="00284E49">
              <w:t>Citas programmas un projekti</w:t>
            </w:r>
          </w:p>
        </w:tc>
      </w:tr>
      <w:tr w:rsidR="009205E4" w:rsidRPr="00284E49" w14:paraId="3BA80F37" w14:textId="77777777" w:rsidTr="00C7365C">
        <w:trPr>
          <w:trHeight w:val="525"/>
        </w:trPr>
        <w:tc>
          <w:tcPr>
            <w:tcW w:w="516" w:type="dxa"/>
            <w:tcBorders>
              <w:top w:val="nil"/>
              <w:left w:val="single" w:sz="8" w:space="0" w:color="auto"/>
              <w:bottom w:val="single" w:sz="8" w:space="0" w:color="auto"/>
              <w:right w:val="single" w:sz="4" w:space="0" w:color="auto"/>
            </w:tcBorders>
          </w:tcPr>
          <w:p w14:paraId="703872A0" w14:textId="77777777" w:rsidR="009205E4" w:rsidRPr="00284E49" w:rsidRDefault="009205E4" w:rsidP="002C49EF"/>
        </w:tc>
        <w:tc>
          <w:tcPr>
            <w:tcW w:w="3171" w:type="dxa"/>
            <w:tcBorders>
              <w:top w:val="nil"/>
              <w:left w:val="nil"/>
              <w:bottom w:val="single" w:sz="8" w:space="0" w:color="auto"/>
              <w:right w:val="single" w:sz="4" w:space="0" w:color="auto"/>
            </w:tcBorders>
          </w:tcPr>
          <w:p w14:paraId="40924B4D" w14:textId="77777777" w:rsidR="009205E4" w:rsidRPr="00284E49" w:rsidRDefault="009205E4" w:rsidP="002C49EF"/>
        </w:tc>
        <w:tc>
          <w:tcPr>
            <w:tcW w:w="5953" w:type="dxa"/>
            <w:tcBorders>
              <w:top w:val="nil"/>
              <w:left w:val="nil"/>
              <w:bottom w:val="single" w:sz="8" w:space="0" w:color="auto"/>
              <w:right w:val="single" w:sz="8" w:space="0" w:color="auto"/>
            </w:tcBorders>
          </w:tcPr>
          <w:p w14:paraId="475FA775" w14:textId="77777777" w:rsidR="009205E4" w:rsidRPr="00284E49" w:rsidRDefault="009205E4" w:rsidP="002C49EF">
            <w:pPr>
              <w:jc w:val="both"/>
            </w:pPr>
          </w:p>
        </w:tc>
      </w:tr>
    </w:tbl>
    <w:p w14:paraId="395C9768" w14:textId="1FDD8C15" w:rsidR="009205E4" w:rsidRPr="00284E49" w:rsidRDefault="009205E4" w:rsidP="009205E4">
      <w:pPr>
        <w:shd w:val="clear" w:color="auto" w:fill="FFFFFF"/>
        <w:jc w:val="both"/>
        <w:rPr>
          <w:sz w:val="22"/>
          <w:szCs w:val="22"/>
        </w:rPr>
      </w:pPr>
      <w:r w:rsidRPr="00284E49">
        <w:br w:type="textWrapping" w:clear="all"/>
      </w:r>
      <w:r w:rsidRPr="00284E49">
        <w:br/>
      </w:r>
      <w:bookmarkStart w:id="2" w:name="_Hlk61598981"/>
    </w:p>
    <w:p w14:paraId="3029563C" w14:textId="35F05EC0" w:rsidR="009205E4" w:rsidRPr="00284E49" w:rsidRDefault="00C7365C" w:rsidP="009205E4">
      <w:pPr>
        <w:spacing w:line="360" w:lineRule="auto"/>
        <w:jc w:val="both"/>
        <w:rPr>
          <w:sz w:val="22"/>
          <w:szCs w:val="22"/>
        </w:rPr>
      </w:pPr>
      <w:r>
        <w:rPr>
          <w:sz w:val="22"/>
          <w:szCs w:val="22"/>
        </w:rPr>
        <w:t xml:space="preserve">ZPR </w:t>
      </w:r>
      <w:r w:rsidR="009205E4" w:rsidRPr="00284E49">
        <w:rPr>
          <w:sz w:val="22"/>
          <w:szCs w:val="22"/>
        </w:rPr>
        <w:t>Izpilddirektors</w:t>
      </w:r>
      <w:r w:rsidR="009205E4" w:rsidRPr="00284E49">
        <w:rPr>
          <w:sz w:val="22"/>
          <w:szCs w:val="22"/>
        </w:rPr>
        <w:tab/>
      </w:r>
      <w:r w:rsidR="009205E4" w:rsidRPr="00284E49">
        <w:rPr>
          <w:sz w:val="22"/>
          <w:szCs w:val="22"/>
        </w:rPr>
        <w:tab/>
      </w:r>
      <w:r w:rsidR="009205E4" w:rsidRPr="00284E49">
        <w:rPr>
          <w:sz w:val="22"/>
          <w:szCs w:val="22"/>
        </w:rPr>
        <w:tab/>
      </w:r>
      <w:r w:rsidR="009205E4" w:rsidRPr="00284E49">
        <w:rPr>
          <w:sz w:val="22"/>
          <w:szCs w:val="22"/>
        </w:rPr>
        <w:tab/>
      </w:r>
      <w:r w:rsidR="009205E4" w:rsidRPr="00284E49">
        <w:rPr>
          <w:sz w:val="22"/>
          <w:szCs w:val="22"/>
        </w:rPr>
        <w:tab/>
      </w:r>
      <w:r w:rsidR="009205E4" w:rsidRPr="00284E49">
        <w:rPr>
          <w:sz w:val="22"/>
          <w:szCs w:val="22"/>
        </w:rPr>
        <w:tab/>
      </w:r>
      <w:r w:rsidR="009205E4" w:rsidRPr="00284E49">
        <w:rPr>
          <w:sz w:val="22"/>
          <w:szCs w:val="22"/>
        </w:rPr>
        <w:tab/>
      </w:r>
      <w:r w:rsidR="009205E4" w:rsidRPr="00284E49">
        <w:rPr>
          <w:sz w:val="22"/>
          <w:szCs w:val="22"/>
        </w:rPr>
        <w:tab/>
        <w:t>V.VEIPS.</w:t>
      </w:r>
    </w:p>
    <w:p w14:paraId="3CDE1363" w14:textId="77777777" w:rsidR="009205E4" w:rsidRPr="00284E49" w:rsidRDefault="009205E4" w:rsidP="009205E4">
      <w:pPr>
        <w:spacing w:line="360" w:lineRule="auto"/>
        <w:jc w:val="both"/>
      </w:pPr>
    </w:p>
    <w:bookmarkEnd w:id="2"/>
    <w:p w14:paraId="20E4E450" w14:textId="77777777" w:rsidR="009205E4" w:rsidRPr="00284E49" w:rsidRDefault="009205E4" w:rsidP="009205E4">
      <w:pPr>
        <w:jc w:val="both"/>
      </w:pPr>
    </w:p>
    <w:p w14:paraId="08179D7E" w14:textId="77777777" w:rsidR="009205E4" w:rsidRPr="00284E49" w:rsidRDefault="009205E4" w:rsidP="009205E4">
      <w:pPr>
        <w:jc w:val="both"/>
      </w:pPr>
    </w:p>
    <w:p w14:paraId="398D0E89" w14:textId="77777777" w:rsidR="007F7753" w:rsidRDefault="007F7753"/>
    <w:sectPr w:rsidR="007F7753"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1A55"/>
    <w:multiLevelType w:val="multilevel"/>
    <w:tmpl w:val="A83C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051C8"/>
    <w:multiLevelType w:val="multilevel"/>
    <w:tmpl w:val="A83C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E3302D"/>
    <w:multiLevelType w:val="multilevel"/>
    <w:tmpl w:val="A83C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6A1E9E"/>
    <w:multiLevelType w:val="multilevel"/>
    <w:tmpl w:val="A83C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2930B5"/>
    <w:multiLevelType w:val="multilevel"/>
    <w:tmpl w:val="A83C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73007A"/>
    <w:multiLevelType w:val="multilevel"/>
    <w:tmpl w:val="A83C7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F62E16"/>
    <w:multiLevelType w:val="multilevel"/>
    <w:tmpl w:val="53BA9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F1349E"/>
    <w:multiLevelType w:val="multilevel"/>
    <w:tmpl w:val="A83C7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8D022E"/>
    <w:multiLevelType w:val="multilevel"/>
    <w:tmpl w:val="A8A69B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8B39FF"/>
    <w:multiLevelType w:val="multilevel"/>
    <w:tmpl w:val="4B042D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1C30DE"/>
    <w:multiLevelType w:val="multilevel"/>
    <w:tmpl w:val="A83C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1377EB"/>
    <w:multiLevelType w:val="multilevel"/>
    <w:tmpl w:val="A83C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3625A6"/>
    <w:multiLevelType w:val="multilevel"/>
    <w:tmpl w:val="A83C7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6E45FF"/>
    <w:multiLevelType w:val="multilevel"/>
    <w:tmpl w:val="A83C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8174387">
    <w:abstractNumId w:val="8"/>
  </w:num>
  <w:num w:numId="2" w16cid:durableId="1580210003">
    <w:abstractNumId w:val="7"/>
  </w:num>
  <w:num w:numId="3" w16cid:durableId="1833402238">
    <w:abstractNumId w:val="9"/>
  </w:num>
  <w:num w:numId="4" w16cid:durableId="1210603391">
    <w:abstractNumId w:val="10"/>
  </w:num>
  <w:num w:numId="5" w16cid:durableId="1831947184">
    <w:abstractNumId w:val="11"/>
  </w:num>
  <w:num w:numId="6" w16cid:durableId="1180504577">
    <w:abstractNumId w:val="3"/>
  </w:num>
  <w:num w:numId="7" w16cid:durableId="773982555">
    <w:abstractNumId w:val="13"/>
  </w:num>
  <w:num w:numId="8" w16cid:durableId="2068532093">
    <w:abstractNumId w:val="6"/>
  </w:num>
  <w:num w:numId="9" w16cid:durableId="372778965">
    <w:abstractNumId w:val="4"/>
  </w:num>
  <w:num w:numId="10" w16cid:durableId="775637405">
    <w:abstractNumId w:val="2"/>
  </w:num>
  <w:num w:numId="11" w16cid:durableId="1512915708">
    <w:abstractNumId w:val="1"/>
  </w:num>
  <w:num w:numId="12" w16cid:durableId="221792616">
    <w:abstractNumId w:val="5"/>
  </w:num>
  <w:num w:numId="13" w16cid:durableId="1689793412">
    <w:abstractNumId w:val="12"/>
  </w:num>
  <w:num w:numId="14" w16cid:durableId="907961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5E4"/>
    <w:rsid w:val="00411241"/>
    <w:rsid w:val="004F4192"/>
    <w:rsid w:val="00512377"/>
    <w:rsid w:val="005B521E"/>
    <w:rsid w:val="00775EBF"/>
    <w:rsid w:val="007F7753"/>
    <w:rsid w:val="00821BA8"/>
    <w:rsid w:val="009205E4"/>
    <w:rsid w:val="00B422A9"/>
    <w:rsid w:val="00C25DC2"/>
    <w:rsid w:val="00C7365C"/>
    <w:rsid w:val="00D119B6"/>
    <w:rsid w:val="00D12B86"/>
    <w:rsid w:val="00D95924"/>
    <w:rsid w:val="00DA04A9"/>
    <w:rsid w:val="00DB4292"/>
    <w:rsid w:val="00FD0DB5"/>
    <w:rsid w:val="00FD1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C94B7"/>
  <w15:chartTrackingRefBased/>
  <w15:docId w15:val="{E5C42C1A-6BC8-4D61-BF5B-14F4B8284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205E4"/>
    <w:pPr>
      <w:spacing w:after="0" w:line="240" w:lineRule="auto"/>
    </w:pPr>
    <w:rPr>
      <w:rFonts w:ascii="Times New Roman" w:eastAsia="Times New Roman" w:hAnsi="Times New Roman" w:cs="Times New Roman"/>
      <w:kern w:val="0"/>
      <w:sz w:val="24"/>
      <w:szCs w:val="24"/>
      <w:lang w:val="lv-LV" w:eastAsia="lv-LV"/>
      <w14:ligatures w14:val="none"/>
    </w:rPr>
  </w:style>
  <w:style w:type="paragraph" w:styleId="Virsraksts1">
    <w:name w:val="heading 1"/>
    <w:basedOn w:val="Parasts"/>
    <w:next w:val="Parasts"/>
    <w:link w:val="Virsraksts1Rakstz"/>
    <w:uiPriority w:val="9"/>
    <w:qFormat/>
    <w:rsid w:val="009205E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link w:val="Virsraksts3Rakstz"/>
    <w:qFormat/>
    <w:rsid w:val="009205E4"/>
    <w:pPr>
      <w:spacing w:before="100" w:beforeAutospacing="1" w:after="100" w:afterAutospacing="1"/>
      <w:outlineLvl w:val="2"/>
    </w:pPr>
    <w:rPr>
      <w:rFonts w:eastAsia="Calibri"/>
      <w:b/>
      <w:bCs/>
      <w:sz w:val="27"/>
      <w:szCs w:val="27"/>
    </w:rPr>
  </w:style>
  <w:style w:type="paragraph" w:styleId="Virsraksts4">
    <w:name w:val="heading 4"/>
    <w:basedOn w:val="Parasts"/>
    <w:next w:val="Parasts"/>
    <w:link w:val="Virsraksts4Rakstz"/>
    <w:uiPriority w:val="9"/>
    <w:unhideWhenUsed/>
    <w:qFormat/>
    <w:rsid w:val="00C25DC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9205E4"/>
    <w:rPr>
      <w:rFonts w:asciiTheme="majorHAnsi" w:eastAsiaTheme="majorEastAsia" w:hAnsiTheme="majorHAnsi" w:cstheme="majorBidi"/>
      <w:color w:val="2F5496" w:themeColor="accent1" w:themeShade="BF"/>
      <w:kern w:val="0"/>
      <w:sz w:val="32"/>
      <w:szCs w:val="32"/>
      <w:lang w:val="lv-LV" w:eastAsia="lv-LV"/>
      <w14:ligatures w14:val="none"/>
    </w:rPr>
  </w:style>
  <w:style w:type="character" w:customStyle="1" w:styleId="Virsraksts3Rakstz">
    <w:name w:val="Virsraksts 3 Rakstz."/>
    <w:basedOn w:val="Noklusjumarindkopasfonts"/>
    <w:link w:val="Virsraksts3"/>
    <w:rsid w:val="009205E4"/>
    <w:rPr>
      <w:rFonts w:ascii="Times New Roman" w:eastAsia="Calibri" w:hAnsi="Times New Roman" w:cs="Times New Roman"/>
      <w:b/>
      <w:bCs/>
      <w:kern w:val="0"/>
      <w:sz w:val="27"/>
      <w:szCs w:val="27"/>
      <w:lang w:val="lv-LV" w:eastAsia="lv-LV"/>
      <w14:ligatures w14:val="none"/>
    </w:rPr>
  </w:style>
  <w:style w:type="paragraph" w:styleId="Bezatstarpm">
    <w:name w:val="No Spacing"/>
    <w:uiPriority w:val="1"/>
    <w:qFormat/>
    <w:rsid w:val="009205E4"/>
    <w:pPr>
      <w:spacing w:after="0" w:line="240" w:lineRule="auto"/>
    </w:pPr>
    <w:rPr>
      <w:rFonts w:ascii="Times New Roman" w:eastAsia="Calibri" w:hAnsi="Times New Roman" w:cs="Times New Roman"/>
      <w:kern w:val="0"/>
      <w:sz w:val="24"/>
      <w:szCs w:val="24"/>
      <w:lang w:val="lv-LV" w:eastAsia="lv-LV"/>
      <w14:ligatures w14:val="none"/>
    </w:rPr>
  </w:style>
  <w:style w:type="character" w:styleId="Hipersaite">
    <w:name w:val="Hyperlink"/>
    <w:basedOn w:val="Noklusjumarindkopasfonts"/>
    <w:uiPriority w:val="99"/>
    <w:unhideWhenUsed/>
    <w:rsid w:val="009205E4"/>
    <w:rPr>
      <w:color w:val="0563C1" w:themeColor="hyperlink"/>
      <w:u w:val="single"/>
    </w:rPr>
  </w:style>
  <w:style w:type="paragraph" w:styleId="HTMLiepriekformattais">
    <w:name w:val="HTML Preformatted"/>
    <w:basedOn w:val="Parasts"/>
    <w:link w:val="HTMLiepriekformattaisRakstz"/>
    <w:uiPriority w:val="99"/>
    <w:unhideWhenUsed/>
    <w:rsid w:val="00920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epriekformattaisRakstz">
    <w:name w:val="HTML iepriekšformatētais Rakstz."/>
    <w:basedOn w:val="Noklusjumarindkopasfonts"/>
    <w:link w:val="HTMLiepriekformattais"/>
    <w:uiPriority w:val="99"/>
    <w:rsid w:val="009205E4"/>
    <w:rPr>
      <w:rFonts w:ascii="Courier New" w:eastAsia="Times New Roman" w:hAnsi="Courier New" w:cs="Courier New"/>
      <w:kern w:val="0"/>
      <w:sz w:val="20"/>
      <w:szCs w:val="20"/>
      <w:lang w:val="lv-LV" w:eastAsia="lv-LV"/>
      <w14:ligatures w14:val="none"/>
    </w:rPr>
  </w:style>
  <w:style w:type="character" w:styleId="Izteiksmgs">
    <w:name w:val="Strong"/>
    <w:uiPriority w:val="22"/>
    <w:qFormat/>
    <w:rsid w:val="009205E4"/>
    <w:rPr>
      <w:b/>
      <w:bCs/>
    </w:rPr>
  </w:style>
  <w:style w:type="paragraph" w:customStyle="1" w:styleId="paragraph">
    <w:name w:val="paragraph"/>
    <w:basedOn w:val="Parasts"/>
    <w:rsid w:val="009205E4"/>
    <w:pPr>
      <w:spacing w:before="100" w:beforeAutospacing="1" w:after="100" w:afterAutospacing="1"/>
    </w:pPr>
  </w:style>
  <w:style w:type="paragraph" w:styleId="Paraststmeklis">
    <w:name w:val="Normal (Web)"/>
    <w:basedOn w:val="Parasts"/>
    <w:uiPriority w:val="99"/>
    <w:unhideWhenUsed/>
    <w:rsid w:val="009205E4"/>
    <w:pPr>
      <w:spacing w:before="100" w:beforeAutospacing="1" w:after="100" w:afterAutospacing="1"/>
    </w:pPr>
    <w:rPr>
      <w:lang w:val="en-US" w:eastAsia="en-US"/>
    </w:rPr>
  </w:style>
  <w:style w:type="character" w:customStyle="1" w:styleId="selected">
    <w:name w:val="selected"/>
    <w:basedOn w:val="Noklusjumarindkopasfonts"/>
    <w:rsid w:val="009205E4"/>
  </w:style>
  <w:style w:type="character" w:styleId="Neatrisintapieminana">
    <w:name w:val="Unresolved Mention"/>
    <w:basedOn w:val="Noklusjumarindkopasfonts"/>
    <w:uiPriority w:val="99"/>
    <w:semiHidden/>
    <w:unhideWhenUsed/>
    <w:rsid w:val="009205E4"/>
    <w:rPr>
      <w:color w:val="605E5C"/>
      <w:shd w:val="clear" w:color="auto" w:fill="E1DFDD"/>
    </w:rPr>
  </w:style>
  <w:style w:type="character" w:customStyle="1" w:styleId="Virsraksts4Rakstz">
    <w:name w:val="Virsraksts 4 Rakstz."/>
    <w:basedOn w:val="Noklusjumarindkopasfonts"/>
    <w:link w:val="Virsraksts4"/>
    <w:uiPriority w:val="9"/>
    <w:rsid w:val="00C25DC2"/>
    <w:rPr>
      <w:rFonts w:asciiTheme="majorHAnsi" w:eastAsiaTheme="majorEastAsia" w:hAnsiTheme="majorHAnsi" w:cstheme="majorBidi"/>
      <w:i/>
      <w:iCs/>
      <w:color w:val="2F5496" w:themeColor="accent1" w:themeShade="BF"/>
      <w:kern w:val="0"/>
      <w:sz w:val="24"/>
      <w:szCs w:val="24"/>
      <w:lang w:val="lv-LV" w:eastAsia="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755408">
      <w:bodyDiv w:val="1"/>
      <w:marLeft w:val="0"/>
      <w:marRight w:val="0"/>
      <w:marTop w:val="0"/>
      <w:marBottom w:val="0"/>
      <w:divBdr>
        <w:top w:val="none" w:sz="0" w:space="0" w:color="auto"/>
        <w:left w:val="none" w:sz="0" w:space="0" w:color="auto"/>
        <w:bottom w:val="none" w:sz="0" w:space="0" w:color="auto"/>
        <w:right w:val="none" w:sz="0" w:space="0" w:color="auto"/>
      </w:divBdr>
    </w:div>
    <w:div w:id="716202106">
      <w:bodyDiv w:val="1"/>
      <w:marLeft w:val="0"/>
      <w:marRight w:val="0"/>
      <w:marTop w:val="0"/>
      <w:marBottom w:val="0"/>
      <w:divBdr>
        <w:top w:val="none" w:sz="0" w:space="0" w:color="auto"/>
        <w:left w:val="none" w:sz="0" w:space="0" w:color="auto"/>
        <w:bottom w:val="none" w:sz="0" w:space="0" w:color="auto"/>
        <w:right w:val="none" w:sz="0" w:space="0" w:color="auto"/>
      </w:divBdr>
    </w:div>
    <w:div w:id="1411198528">
      <w:bodyDiv w:val="1"/>
      <w:marLeft w:val="0"/>
      <w:marRight w:val="0"/>
      <w:marTop w:val="0"/>
      <w:marBottom w:val="0"/>
      <w:divBdr>
        <w:top w:val="none" w:sz="0" w:space="0" w:color="auto"/>
        <w:left w:val="none" w:sz="0" w:space="0" w:color="auto"/>
        <w:bottom w:val="none" w:sz="0" w:space="0" w:color="auto"/>
        <w:right w:val="none" w:sz="0" w:space="0" w:color="auto"/>
      </w:divBdr>
    </w:div>
    <w:div w:id="1420104313">
      <w:bodyDiv w:val="1"/>
      <w:marLeft w:val="0"/>
      <w:marRight w:val="0"/>
      <w:marTop w:val="0"/>
      <w:marBottom w:val="0"/>
      <w:divBdr>
        <w:top w:val="none" w:sz="0" w:space="0" w:color="auto"/>
        <w:left w:val="none" w:sz="0" w:space="0" w:color="auto"/>
        <w:bottom w:val="none" w:sz="0" w:space="0" w:color="auto"/>
        <w:right w:val="none" w:sz="0" w:space="0" w:color="auto"/>
      </w:divBdr>
    </w:div>
    <w:div w:id="1671055706">
      <w:bodyDiv w:val="1"/>
      <w:marLeft w:val="0"/>
      <w:marRight w:val="0"/>
      <w:marTop w:val="0"/>
      <w:marBottom w:val="0"/>
      <w:divBdr>
        <w:top w:val="none" w:sz="0" w:space="0" w:color="auto"/>
        <w:left w:val="none" w:sz="0" w:space="0" w:color="auto"/>
        <w:bottom w:val="none" w:sz="0" w:space="0" w:color="auto"/>
        <w:right w:val="none" w:sz="0" w:space="0" w:color="auto"/>
      </w:divBdr>
    </w:div>
    <w:div w:id="1672027153">
      <w:bodyDiv w:val="1"/>
      <w:marLeft w:val="0"/>
      <w:marRight w:val="0"/>
      <w:marTop w:val="0"/>
      <w:marBottom w:val="0"/>
      <w:divBdr>
        <w:top w:val="none" w:sz="0" w:space="0" w:color="auto"/>
        <w:left w:val="none" w:sz="0" w:space="0" w:color="auto"/>
        <w:bottom w:val="none" w:sz="0" w:space="0" w:color="auto"/>
        <w:right w:val="none" w:sz="0" w:space="0" w:color="auto"/>
      </w:divBdr>
    </w:div>
    <w:div w:id="1835101206">
      <w:bodyDiv w:val="1"/>
      <w:marLeft w:val="0"/>
      <w:marRight w:val="0"/>
      <w:marTop w:val="0"/>
      <w:marBottom w:val="0"/>
      <w:divBdr>
        <w:top w:val="none" w:sz="0" w:space="0" w:color="auto"/>
        <w:left w:val="none" w:sz="0" w:space="0" w:color="auto"/>
        <w:bottom w:val="none" w:sz="0" w:space="0" w:color="auto"/>
        <w:right w:val="none" w:sz="0" w:space="0" w:color="auto"/>
      </w:divBdr>
    </w:div>
    <w:div w:id="206760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ntralbaltic.eu/programme/programme-objectives/labourmarket/" TargetMode="External"/><Relationship Id="rId5" Type="http://schemas.openxmlformats.org/officeDocument/2006/relationships/hyperlink" Target="https://centralbaltic.eu/fifth-call-for-project-proposa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6040</Words>
  <Characters>3444</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Santa Ozola</cp:lastModifiedBy>
  <cp:revision>2</cp:revision>
  <dcterms:created xsi:type="dcterms:W3CDTF">2026-02-10T08:32:00Z</dcterms:created>
  <dcterms:modified xsi:type="dcterms:W3CDTF">2026-02-10T08:32:00Z</dcterms:modified>
</cp:coreProperties>
</file>